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376E" w:rsidTr="0072376E">
        <w:trPr>
          <w:tblCellSpacing w:w="0" w:type="dxa"/>
        </w:trPr>
        <w:tc>
          <w:tcPr>
            <w:tcW w:w="0" w:type="auto"/>
            <w:vAlign w:val="center"/>
            <w:hideMark/>
          </w:tcPr>
          <w:p w:rsidR="0072376E" w:rsidRDefault="0072376E">
            <w:r>
              <w:rPr>
                <w:noProof/>
              </w:rPr>
              <w:drawing>
                <wp:inline distT="0" distB="0" distL="0" distR="0">
                  <wp:extent cx="5715000" cy="1428750"/>
                  <wp:effectExtent l="0" t="0" r="0" b="0"/>
                  <wp:docPr id="8" name="Picture 8" descr="The WaterSense Cur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aterSense Cur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76E" w:rsidTr="0072376E">
        <w:trPr>
          <w:tblCellSpacing w:w="0" w:type="dxa"/>
        </w:trPr>
        <w:tc>
          <w:tcPr>
            <w:tcW w:w="0" w:type="auto"/>
            <w:hideMark/>
          </w:tcPr>
          <w:p w:rsidR="0072376E" w:rsidRDefault="0072376E">
            <w:r>
              <w:rPr>
                <w:noProof/>
              </w:rPr>
              <w:drawing>
                <wp:inline distT="0" distB="0" distL="0" distR="0">
                  <wp:extent cx="5715000" cy="47625"/>
                  <wp:effectExtent l="0" t="0" r="0" b="9525"/>
                  <wp:docPr id="7" name="Picture 7" descr="http://www2.ergweb.com/listserv/Arlington/WaterSens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ergweb.com/listserv/Arlington/WaterSens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76E" w:rsidRDefault="0072376E" w:rsidP="0072376E">
      <w:pPr>
        <w:rPr>
          <w:vanish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2376E" w:rsidTr="0072376E">
        <w:trPr>
          <w:tblCellSpacing w:w="0" w:type="dxa"/>
        </w:trPr>
        <w:tc>
          <w:tcPr>
            <w:tcW w:w="0" w:type="auto"/>
            <w:vAlign w:val="center"/>
            <w:hideMark/>
          </w:tcPr>
          <w:p w:rsidR="0072376E" w:rsidRDefault="0072376E">
            <w:r>
              <w:rPr>
                <w:noProof/>
              </w:rPr>
              <w:drawing>
                <wp:inline distT="0" distB="0" distL="0" distR="0" wp14:anchorId="35FB4940" wp14:editId="0435EA41">
                  <wp:extent cx="5715000" cy="190500"/>
                  <wp:effectExtent l="0" t="0" r="0" b="0"/>
                  <wp:docPr id="6" name="Picture 6" descr="http://www2.ergweb.com/listserv/Arlington/WaterSense/Images/body_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2.ergweb.com/listserv/Arlington/WaterSense/Images/body_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76E" w:rsidTr="0072376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2335"/>
            </w:tblGrid>
            <w:tr w:rsidR="0072376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"/>
                    <w:gridCol w:w="6974"/>
                    <w:gridCol w:w="46"/>
                  </w:tblGrid>
                  <w:tr w:rsidR="0072376E">
                    <w:trPr>
                      <w:trHeight w:val="10740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2376E" w:rsidRDefault="0072376E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72376E" w:rsidRDefault="0072376E">
                        <w:pPr>
                          <w:pStyle w:val="Heading5"/>
                          <w:rPr>
                            <w:rFonts w:eastAsiaTheme="minorHAnsi"/>
                          </w:rPr>
                        </w:pPr>
                        <w:r>
                          <w:rPr>
                            <w:rFonts w:eastAsiaTheme="minorHAnsi"/>
                          </w:rPr>
                          <w:t xml:space="preserve">Issue XXVI, </w:t>
                        </w:r>
                        <w:proofErr w:type="gramStart"/>
                        <w:r>
                          <w:rPr>
                            <w:rFonts w:eastAsiaTheme="minorHAnsi"/>
                          </w:rPr>
                          <w:t>Spring</w:t>
                        </w:r>
                        <w:proofErr w:type="gramEnd"/>
                        <w:r>
                          <w:rPr>
                            <w:rFonts w:eastAsiaTheme="minorHAnsi"/>
                          </w:rPr>
                          <w:t xml:space="preserve"> 2013</w:t>
                        </w:r>
                      </w:p>
                      <w:p w:rsidR="0072376E" w:rsidRDefault="0072376E">
                        <w:pPr>
                          <w:pStyle w:val="Heading1"/>
                          <w:rPr>
                            <w:rFonts w:eastAsiaTheme="minorHAnsi"/>
                          </w:rPr>
                        </w:pPr>
                        <w:r>
                          <w:rPr>
                            <w:rStyle w:val="Strong"/>
                            <w:rFonts w:eastAsiaTheme="minorHAnsi"/>
                            <w:b/>
                            <w:bCs/>
                            <w:color w:val="BD1B20"/>
                          </w:rPr>
                          <w:t>In This Issue:</w:t>
                        </w:r>
                        <w:r>
                          <w:rPr>
                            <w:rFonts w:eastAsiaTheme="minorHAnsi"/>
                          </w:rPr>
                          <w:t xml:space="preserve"> </w:t>
                        </w:r>
                      </w:p>
                      <w:p w:rsidR="0072376E" w:rsidRDefault="0072376E">
                        <w:pPr>
                          <w:pStyle w:val="Heading2"/>
                          <w:rPr>
                            <w:rFonts w:eastAsiaTheme="minorHAnsi"/>
                          </w:rPr>
                        </w:pPr>
                        <w:r>
                          <w:rPr>
                            <w:rStyle w:val="Strong"/>
                            <w:rFonts w:eastAsiaTheme="minorHAnsi"/>
                            <w:b/>
                            <w:bCs/>
                          </w:rPr>
                          <w:t xml:space="preserve">Take Spring Cleaning Outdoors and Spruce </w:t>
                        </w:r>
                        <w:proofErr w:type="gramStart"/>
                        <w:r>
                          <w:rPr>
                            <w:rStyle w:val="Strong"/>
                            <w:rFonts w:eastAsiaTheme="minorHAnsi"/>
                            <w:b/>
                            <w:bCs/>
                          </w:rPr>
                          <w:t>Up</w:t>
                        </w:r>
                        <w:proofErr w:type="gramEnd"/>
                        <w:r>
                          <w:rPr>
                            <w:rStyle w:val="Strong"/>
                            <w:rFonts w:eastAsiaTheme="minorHAnsi"/>
                            <w:b/>
                            <w:bCs/>
                          </w:rPr>
                          <w:t xml:space="preserve"> Your Sprinkler</w:t>
                        </w:r>
                      </w:p>
                      <w:p w:rsidR="0072376E" w:rsidRDefault="0072376E">
                        <w:pPr>
                          <w:pStyle w:val="NormalWeb"/>
                        </w:pPr>
                        <w:r>
                          <w:t xml:space="preserve">Spring is often a time for tackling those tough chores indoors. But you can also save water and money outdoors with a little sprinkler spruce-up this season. If you have an irrigation system, chances are it has been dormant for the past several months. Take a few minutes to check your system for common problems, </w:t>
                        </w:r>
                        <w:hyperlink r:id="rId8" w:anchor="one" w:tgtFrame="blank" w:history="1">
                          <w:r>
                            <w:rPr>
                              <w:rStyle w:val="Hyperlink"/>
                            </w:rPr>
                            <w:t>such as leaks or malfunctioning sprinkler heads</w:t>
                          </w:r>
                        </w:hyperlink>
                        <w:r>
                          <w:t>.</w:t>
                        </w:r>
                      </w:p>
                      <w:p w:rsidR="0072376E" w:rsidRDefault="0072376E">
                        <w:pPr>
                          <w:pStyle w:val="Heading2"/>
                          <w:rPr>
                            <w:rFonts w:eastAsiaTheme="minorHAnsi"/>
                          </w:rPr>
                        </w:pPr>
                        <w:r>
                          <w:rPr>
                            <w:rStyle w:val="Strong"/>
                            <w:rFonts w:eastAsiaTheme="minorHAnsi"/>
                            <w:b/>
                            <w:bCs/>
                          </w:rPr>
                          <w:t>National Mayor’s Challenge Takes its Water-Saving Show on the Road</w:t>
                        </w:r>
                      </w:p>
                      <w:p w:rsidR="0072376E" w:rsidRDefault="0072376E">
                        <w:pPr>
                          <w:pStyle w:val="NormalWeb"/>
                        </w:pPr>
                        <w:r>
                          <w:t xml:space="preserve">April is Earth Month, and the </w:t>
                        </w:r>
                        <w:proofErr w:type="spellStart"/>
                        <w:r>
                          <w:t>Wyland</w:t>
                        </w:r>
                        <w:proofErr w:type="spellEnd"/>
                        <w:r>
                          <w:t xml:space="preserve"> Foundation’s second annual National Mayor’s Challenge for Water Conservation makes participating as easy as pledging to reduce your water use. On April 1, the foundation launched a friendly competition among many cities across the United States to see whose residents are the most "water-wise." Mayors from across the country will challenge their constituents to make </w:t>
                        </w:r>
                        <w:hyperlink r:id="rId9" w:anchor="two" w:tgtFrame="blank" w:history="1">
                          <w:r>
                            <w:rPr>
                              <w:rStyle w:val="Hyperlink"/>
                            </w:rPr>
                            <w:t>free, online commitments during April to reduce their water use</w:t>
                          </w:r>
                        </w:hyperlink>
                        <w:r>
                          <w:t>.</w:t>
                        </w:r>
                      </w:p>
                      <w:p w:rsidR="0072376E" w:rsidRDefault="0072376E">
                        <w:pPr>
                          <w:pStyle w:val="Heading2"/>
                          <w:rPr>
                            <w:rFonts w:eastAsiaTheme="minorHAnsi"/>
                          </w:rPr>
                        </w:pPr>
                        <w:r>
                          <w:rPr>
                            <w:rStyle w:val="Strong"/>
                            <w:rFonts w:eastAsiaTheme="minorHAnsi"/>
                            <w:b/>
                            <w:bCs/>
                          </w:rPr>
                          <w:t>Water-Smart Photos Demonstrate the Green of the Crop</w:t>
                        </w:r>
                      </w:p>
                      <w:p w:rsidR="0072376E" w:rsidRDefault="0072376E">
                        <w:pPr>
                          <w:pStyle w:val="NormalWeb"/>
                        </w:pPr>
                        <w:r>
                          <w:t>Looking for a little "</w:t>
                        </w:r>
                        <w:proofErr w:type="spellStart"/>
                        <w:r>
                          <w:t>greenspiration</w:t>
                        </w:r>
                        <w:proofErr w:type="spellEnd"/>
                        <w:r>
                          <w:t xml:space="preserve">" when you head outside to your yard this spring? </w:t>
                        </w:r>
                        <w:proofErr w:type="spellStart"/>
                        <w:r>
                          <w:t>WaterSense</w:t>
                        </w:r>
                        <w:proofErr w:type="spellEnd"/>
                        <w:r>
                          <w:t xml:space="preserve"> has added nearly 100 new images to its Water-Smart Landscape Photo Gallery to showcase some of the most beautiful water-smart landscapes for spring. More than 60 home and business owners, landscape designers, and irrigation professionals entered </w:t>
                        </w:r>
                        <w:proofErr w:type="spellStart"/>
                        <w:r>
                          <w:t>WaterSense’s</w:t>
                        </w:r>
                        <w:proofErr w:type="spellEnd"/>
                        <w:r>
                          <w:t xml:space="preserve"> </w:t>
                        </w:r>
                        <w:hyperlink r:id="rId10" w:anchor="three" w:tgtFrame="blank" w:history="1">
                          <w:r>
                            <w:rPr>
                              <w:rStyle w:val="Hyperlink"/>
                            </w:rPr>
                            <w:t>recent contest to demonstrate how beautiful water-smart practices can be</w:t>
                          </w:r>
                        </w:hyperlink>
                        <w:r>
                          <w:t>.</w:t>
                        </w:r>
                      </w:p>
                      <w:p w:rsidR="0072376E" w:rsidRDefault="0072376E">
                        <w:pPr>
                          <w:pStyle w:val="Heading2"/>
                          <w:rPr>
                            <w:rFonts w:eastAsiaTheme="minorHAnsi"/>
                          </w:rPr>
                        </w:pPr>
                        <w:r>
                          <w:rPr>
                            <w:rStyle w:val="Strong"/>
                            <w:rFonts w:eastAsiaTheme="minorHAnsi"/>
                            <w:b/>
                            <w:bCs/>
                          </w:rPr>
                          <w:t>Three Restaurants Earn Their Stars for Reducing Water Use</w:t>
                        </w:r>
                      </w:p>
                      <w:p w:rsidR="0072376E" w:rsidRDefault="0072376E">
                        <w:pPr>
                          <w:pStyle w:val="NormalWeb"/>
                        </w:pPr>
                        <w:r>
                          <w:t xml:space="preserve">Hospitality and food service establishments account for approximately 15 percent of the total water use in U.S. commercial and institutional facilities. Restaurants across the country have begun to realize the </w:t>
                        </w:r>
                        <w:hyperlink r:id="rId11" w:anchor="four" w:tgtFrame="blank" w:history="1">
                          <w:r>
                            <w:rPr>
                              <w:rStyle w:val="Hyperlink"/>
                            </w:rPr>
                            <w:t>benefits of water-efficient kitchen and restroom equipment, including energy savings</w:t>
                          </w:r>
                        </w:hyperlink>
                        <w:r>
                          <w:t>.</w:t>
                        </w:r>
                      </w:p>
                      <w:p w:rsidR="0072376E" w:rsidRDefault="0072376E">
                        <w:pPr>
                          <w:pStyle w:val="Heading2"/>
                          <w:rPr>
                            <w:rFonts w:eastAsiaTheme="minorHAnsi"/>
                          </w:rPr>
                        </w:pPr>
                        <w:r>
                          <w:rPr>
                            <w:rStyle w:val="Strong"/>
                            <w:rFonts w:eastAsiaTheme="minorHAnsi"/>
                            <w:b/>
                            <w:bCs/>
                          </w:rPr>
                          <w:t xml:space="preserve">Three-Time </w:t>
                        </w:r>
                        <w:proofErr w:type="spellStart"/>
                        <w:r>
                          <w:rPr>
                            <w:rStyle w:val="Strong"/>
                            <w:rFonts w:eastAsiaTheme="minorHAnsi"/>
                            <w:b/>
                            <w:bCs/>
                          </w:rPr>
                          <w:t>WaterSense</w:t>
                        </w:r>
                        <w:proofErr w:type="spellEnd"/>
                        <w:r>
                          <w:rPr>
                            <w:rStyle w:val="Strong"/>
                            <w:rFonts w:eastAsiaTheme="minorHAnsi"/>
                            <w:b/>
                            <w:bCs/>
                          </w:rPr>
                          <w:t xml:space="preserve"> Partners of the Year Agree "Wasting Water Is Weird"</w:t>
                        </w:r>
                      </w:p>
                      <w:p w:rsidR="0072376E" w:rsidRDefault="0072376E">
                        <w:pPr>
                          <w:pStyle w:val="NormalWeb"/>
                        </w:pPr>
                        <w:r>
                          <w:lastRenderedPageBreak/>
                          <w:t xml:space="preserve">Third time is a charm; or is it just plain weird? Kohler Co. and Lowe’s Companies, Inc. each earned their third </w:t>
                        </w:r>
                        <w:proofErr w:type="spellStart"/>
                        <w:r>
                          <w:t>WaterSense</w:t>
                        </w:r>
                        <w:proofErr w:type="spellEnd"/>
                        <w:r>
                          <w:t xml:space="preserve"> Partner of the Year award in 2012, after joining forces with </w:t>
                        </w:r>
                        <w:proofErr w:type="spellStart"/>
                        <w:r>
                          <w:t>WaterSense</w:t>
                        </w:r>
                        <w:proofErr w:type="spellEnd"/>
                        <w:r>
                          <w:t xml:space="preserve"> and other organizations on a </w:t>
                        </w:r>
                        <w:hyperlink r:id="rId12" w:anchor="five" w:tgtFrame="blank" w:history="1">
                          <w:r>
                            <w:rPr>
                              <w:rStyle w:val="Hyperlink"/>
                            </w:rPr>
                            <w:t>public service announcement (PSA) campaign called "Wasting Water Is Weird."</w:t>
                          </w:r>
                        </w:hyperlink>
                      </w:p>
                      <w:p w:rsidR="0072376E" w:rsidRDefault="0072376E"/>
                      <w:tbl>
                        <w:tblPr>
                          <w:tblW w:w="6982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74"/>
                        </w:tblGrid>
                        <w:tr w:rsidR="0072376E" w:rsidTr="0072376E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376E" w:rsidRDefault="0072376E">
                              <w:r>
                                <w:t xml:space="preserve">If you prefer not to receive these messages, please email </w:t>
                              </w:r>
                              <w:hyperlink r:id="rId13" w:tgtFrame="blank" w:history="1">
                                <w:r>
                                  <w:rPr>
                                    <w:rStyle w:val="Hyperlink"/>
                                  </w:rPr>
                                  <w:t>watersense@epa.gov</w:t>
                                </w:r>
                              </w:hyperlink>
                              <w:r>
                                <w:t xml:space="preserve"> with "</w:t>
                              </w:r>
                              <w:proofErr w:type="spellStart"/>
                              <w:r>
                                <w:rPr>
                                  <w:rStyle w:val="Emphasis"/>
                                </w:rPr>
                                <w:t>WaterSense</w:t>
                              </w:r>
                              <w:proofErr w:type="spellEnd"/>
                              <w:r>
                                <w:rPr>
                                  <w:rStyle w:val="Emphasis"/>
                                </w:rPr>
                                <w:t xml:space="preserve"> Current</w:t>
                              </w:r>
                              <w:r>
                                <w:t xml:space="preserve"> unsubscribe" indicated in the subject line.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0859697" wp14:editId="6FEED8D9">
                                    <wp:extent cx="5715000" cy="190500"/>
                                    <wp:effectExtent l="0" t="0" r="0" b="0"/>
                                    <wp:docPr id="9" name="Picture 9" descr="http://www2.ergweb.com/listserv/Arlington/WaterSense/Images/body_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://www2.ergweb.com/listserv/Arlington/WaterSense/Images/body_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2376E" w:rsidRDefault="0072376E">
                        <w:pPr>
                          <w:pStyle w:val="NormalWeb"/>
                        </w:pP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72376E" w:rsidRDefault="0072376E">
                        <w:r>
                          <w:lastRenderedPageBreak/>
                          <w:t> </w:t>
                        </w:r>
                      </w:p>
                    </w:tc>
                  </w:tr>
                </w:tbl>
                <w:p w:rsidR="0072376E" w:rsidRDefault="0072376E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  <w:hideMark/>
                </w:tcPr>
                <w:tbl>
                  <w:tblPr>
                    <w:tblW w:w="29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5"/>
                  </w:tblGrid>
                  <w:tr w:rsidR="0072376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10" w:type="dxa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2375"/>
                          <w:gridCol w:w="535"/>
                        </w:tblGrid>
                        <w:tr w:rsidR="0072376E">
                          <w:trPr>
                            <w:tblCellSpacing w:w="15" w:type="dxa"/>
                          </w:trPr>
                          <w:tc>
                            <w:tcPr>
                              <w:tcW w:w="228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72376E" w:rsidRDefault="0072376E">
                              <w:pPr>
                                <w:pStyle w:val="NormalWeb"/>
                              </w:pPr>
                              <w:hyperlink r:id="rId15" w:tgtFrame="blank" w:history="1">
                                <w:r>
                                  <w:rPr>
                                    <w:rStyle w:val="Hyperlink"/>
                                  </w:rPr>
                                  <w:t>Follow us on Facebook</w:t>
                                </w:r>
                              </w:hyperlink>
                            </w:p>
                          </w:tc>
                          <w:tc>
                            <w:tcPr>
                              <w:tcW w:w="48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72376E" w:rsidRDefault="0072376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8DA9B4" wp14:editId="3CB42C51">
                                    <wp:extent cx="190500" cy="190500"/>
                                    <wp:effectExtent l="0" t="0" r="0" b="0"/>
                                    <wp:docPr id="5" name="Picture 5" descr="http://www2.ergweb.com/listserv/Arlington/WaterSense/Images/facebook_ic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2.ergweb.com/listserv/Arlington/WaterSense/Images/facebook_ic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2376E" w:rsidRDefault="0072376E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2376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2376E" w:rsidRDefault="0072376E">
                        <w:r>
                          <w:rPr>
                            <w:noProof/>
                          </w:rPr>
                          <w:drawing>
                            <wp:inline distT="0" distB="0" distL="0" distR="0" wp14:anchorId="6715012B" wp14:editId="2BDAB9C5">
                              <wp:extent cx="1885950" cy="95250"/>
                              <wp:effectExtent l="0" t="0" r="0" b="0"/>
                              <wp:docPr id="4" name="Picture 4" descr="http://www2.ergweb.com/listserv/Arlington/WaterSense/Images/current_aboutws_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2.ergweb.com/listserv/Arlington/WaterSense/Images/current_aboutws_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59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7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885"/>
                          <w:gridCol w:w="225"/>
                        </w:tblGrid>
                        <w:tr w:rsidR="0072376E">
                          <w:trPr>
                            <w:tblCellSpacing w:w="0" w:type="dxa"/>
                          </w:trPr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72376E" w:rsidRDefault="0072376E">
                              <w:pPr>
                                <w:pStyle w:val="NormalWeb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376E" w:rsidRDefault="0072376E">
                              <w:pPr>
                                <w:pStyle w:val="sidebartext"/>
                              </w:pP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WaterSense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>, a partnership program sponsored by the U.S. Environmental Protection Agency, seeks to protect the future of our nation's water supply by offering people a simple way to use less water.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The</w:t>
                              </w:r>
                              <w:r>
                                <w:rPr>
                                  <w:rStyle w:val="Emphasis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sz w:val="15"/>
                                  <w:szCs w:val="15"/>
                                </w:rPr>
                                <w:t>WaterSense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sz w:val="15"/>
                                  <w:szCs w:val="15"/>
                                </w:rPr>
                                <w:t xml:space="preserve"> Current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is a quarterly update dedicated to news and events related to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WaterSense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>.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For more information, please visit the </w:t>
                              </w:r>
                              <w:hyperlink r:id="rId18" w:tgtFrame="blank" w:history="1">
                                <w:proofErr w:type="spellStart"/>
                                <w:r>
                                  <w:rPr>
                                    <w:rStyle w:val="Hyperlink"/>
                                    <w:sz w:val="15"/>
                                    <w:szCs w:val="15"/>
                                  </w:rPr>
                                  <w:t>WaterSense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sz w:val="15"/>
                                    <w:szCs w:val="15"/>
                                  </w:rPr>
                                  <w:t xml:space="preserve"> website</w:t>
                                </w:r>
                              </w:hyperlink>
                              <w:r>
                                <w:rPr>
                                  <w:sz w:val="15"/>
                                  <w:szCs w:val="15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72376E" w:rsidRDefault="0072376E"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:rsidR="0072376E" w:rsidRDefault="0072376E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2376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2376E" w:rsidRDefault="0072376E">
                        <w:r>
                          <w:rPr>
                            <w:noProof/>
                          </w:rPr>
                          <w:drawing>
                            <wp:inline distT="0" distB="0" distL="0" distR="0" wp14:anchorId="01158AAB" wp14:editId="32757C44">
                              <wp:extent cx="1885950" cy="619125"/>
                              <wp:effectExtent l="0" t="0" r="0" b="9525"/>
                              <wp:docPr id="3" name="Picture 3" descr="Photo of wa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Photo of wa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595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2376E" w:rsidRDefault="0072376E">
                  <w:pPr>
                    <w:pStyle w:val="NormalWeb"/>
                  </w:pPr>
                  <w:r>
                    <w:t> </w:t>
                  </w:r>
                </w:p>
                <w:tbl>
                  <w:tblPr>
                    <w:tblW w:w="29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5"/>
                  </w:tblGrid>
                  <w:tr w:rsidR="0072376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7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35"/>
                        </w:tblGrid>
                        <w:tr w:rsidR="007237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2376E" w:rsidRDefault="0072376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2D14BE" wp14:editId="3C81B2C6">
                                    <wp:extent cx="1885950" cy="952500"/>
                                    <wp:effectExtent l="0" t="0" r="0" b="0"/>
                                    <wp:docPr id="2" name="Picture 2" descr="How Many Drops of Water?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ow Many Drops of Water?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595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237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3"/>
                                <w:gridCol w:w="2212"/>
                              </w:tblGrid>
                              <w:tr w:rsidR="0072376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72376E" w:rsidRDefault="0072376E">
                                    <w:pPr>
                                      <w:pStyle w:val="NormalWeb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715" w:type="dxa"/>
                                    <w:vAlign w:val="center"/>
                                    <w:hideMark/>
                                  </w:tcPr>
                                  <w:p w:rsidR="0072376E" w:rsidRDefault="0072376E">
                                    <w:pPr>
                                      <w:pStyle w:val="sidebartext"/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Approximately how many gallons of water can a broken or missing sprinkler head waste over a six-month irrigation season?</w:t>
                                    </w:r>
                                  </w:p>
                                  <w:p w:rsidR="0072376E" w:rsidRDefault="0072376E">
                                    <w:pPr>
                                      <w:pStyle w:val="sidebartext"/>
                                    </w:pPr>
                                    <w:r>
                                      <w:t> </w:t>
                                    </w:r>
                                  </w:p>
                                  <w:p w:rsidR="0072376E" w:rsidRDefault="0072376E">
                                    <w:pPr>
                                      <w:pStyle w:val="sidebartext"/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A. 250 gallons</w:t>
                                    </w:r>
                                  </w:p>
                                  <w:p w:rsidR="0072376E" w:rsidRDefault="0072376E">
                                    <w:pPr>
                                      <w:pStyle w:val="sidebartext"/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B. 2,500 gallons</w:t>
                                    </w:r>
                                  </w:p>
                                  <w:p w:rsidR="0072376E" w:rsidRDefault="0072376E">
                                    <w:pPr>
                                      <w:pStyle w:val="sidebartext"/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C. 25,000 gallons</w:t>
                                    </w:r>
                                  </w:p>
                                  <w:p w:rsidR="0072376E" w:rsidRDefault="0072376E">
                                    <w:pPr>
                                      <w:pStyle w:val="sidebartext"/>
                                    </w:pPr>
                                    <w:r>
                                      <w:t> </w:t>
                                    </w:r>
                                  </w:p>
                                  <w:p w:rsidR="0072376E" w:rsidRDefault="0072376E">
                                    <w:pPr>
                                      <w:pStyle w:val="sidebartext"/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 xml:space="preserve">See this issue of the </w:t>
                                    </w:r>
                                    <w:proofErr w:type="spellStart"/>
                                    <w:r>
                                      <w:rPr>
                                        <w:rStyle w:val="Emphasis"/>
                                        <w:sz w:val="15"/>
                                        <w:szCs w:val="15"/>
                                      </w:rPr>
                                      <w:t>WaterSense</w:t>
                                    </w:r>
                                    <w:proofErr w:type="spellEnd"/>
                                    <w:r>
                                      <w:rPr>
                                        <w:rStyle w:val="Emphasis"/>
                                        <w:sz w:val="15"/>
                                        <w:szCs w:val="15"/>
                                      </w:rPr>
                                      <w:t xml:space="preserve"> Current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 xml:space="preserve"> for the </w:t>
                                    </w:r>
                                    <w:hyperlink r:id="rId21" w:tgtFrame="blank" w:history="1">
                                      <w:r>
                                        <w:rPr>
                                          <w:rStyle w:val="Hyperlink"/>
                                          <w:sz w:val="15"/>
                                          <w:szCs w:val="15"/>
                                        </w:rPr>
                                        <w:t>correct answer!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2376E" w:rsidRDefault="0072376E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72376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2376E" w:rsidRDefault="0072376E"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56B42DBF" wp14:editId="594BCDBB">
                                    <wp:extent cx="1885950" cy="942975"/>
                                    <wp:effectExtent l="0" t="0" r="0" b="9525"/>
                                    <wp:docPr id="1" name="Picture 1" descr="http://www2.ergweb.com/listserv/Arlington/WaterSense/Images/dropletboxSpring2013_email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2.ergweb.com/listserv/Arlington/WaterSense/Images/dropletboxSpring2013_email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59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2376E" w:rsidRDefault="0072376E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2376E" w:rsidRDefault="0072376E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72376E" w:rsidRDefault="0072376E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872891" w:rsidRDefault="00872891"/>
    <w:sectPr w:rsidR="0087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6E"/>
    <w:rsid w:val="0072376E"/>
    <w:rsid w:val="008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2376E"/>
    <w:pPr>
      <w:spacing w:before="100" w:beforeAutospacing="1" w:after="100" w:afterAutospacing="1"/>
      <w:outlineLvl w:val="0"/>
    </w:pPr>
    <w:rPr>
      <w:rFonts w:ascii="Trebuchet MS" w:eastAsia="Times New Roman" w:hAnsi="Trebuchet MS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2376E"/>
    <w:pPr>
      <w:spacing w:before="100" w:beforeAutospacing="1" w:after="100" w:afterAutospacing="1" w:line="270" w:lineRule="atLeast"/>
      <w:outlineLvl w:val="1"/>
    </w:pPr>
    <w:rPr>
      <w:rFonts w:ascii="Trebuchet MS" w:eastAsia="Times New Roman" w:hAnsi="Trebuchet MS"/>
      <w:b/>
      <w:bCs/>
      <w:color w:val="3379AD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2376E"/>
    <w:pPr>
      <w:spacing w:before="100" w:beforeAutospacing="1" w:after="100" w:afterAutospacing="1"/>
      <w:outlineLvl w:val="4"/>
    </w:pPr>
    <w:rPr>
      <w:rFonts w:ascii="Trebuchet MS" w:eastAsia="Times New Roman" w:hAnsi="Trebuchet MS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76E"/>
    <w:rPr>
      <w:rFonts w:ascii="Trebuchet MS" w:eastAsia="Times New Roman" w:hAnsi="Trebuchet MS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76E"/>
    <w:rPr>
      <w:rFonts w:ascii="Trebuchet MS" w:eastAsia="Times New Roman" w:hAnsi="Trebuchet MS" w:cs="Times New Roman"/>
      <w:b/>
      <w:bCs/>
      <w:color w:val="3379A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76E"/>
    <w:rPr>
      <w:rFonts w:ascii="Trebuchet MS" w:eastAsia="Times New Roman" w:hAnsi="Trebuchet MS" w:cs="Times New Roman"/>
      <w:b/>
      <w:bCs/>
      <w:color w:val="333333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237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76E"/>
    <w:rPr>
      <w:rFonts w:ascii="Verdana" w:hAnsi="Verdana"/>
      <w:sz w:val="18"/>
      <w:szCs w:val="18"/>
    </w:rPr>
  </w:style>
  <w:style w:type="paragraph" w:customStyle="1" w:styleId="sidebartext">
    <w:name w:val="sidebartext"/>
    <w:basedOn w:val="Normal"/>
    <w:uiPriority w:val="99"/>
    <w:rsid w:val="0072376E"/>
    <w:rPr>
      <w:rFonts w:ascii="Verdana" w:hAnsi="Verdana"/>
      <w:sz w:val="16"/>
      <w:szCs w:val="16"/>
    </w:rPr>
  </w:style>
  <w:style w:type="character" w:styleId="Strong">
    <w:name w:val="Strong"/>
    <w:basedOn w:val="DefaultParagraphFont"/>
    <w:uiPriority w:val="22"/>
    <w:qFormat/>
    <w:rsid w:val="0072376E"/>
    <w:rPr>
      <w:b/>
      <w:bCs/>
    </w:rPr>
  </w:style>
  <w:style w:type="character" w:styleId="Emphasis">
    <w:name w:val="Emphasis"/>
    <w:basedOn w:val="DefaultParagraphFont"/>
    <w:uiPriority w:val="20"/>
    <w:qFormat/>
    <w:rsid w:val="00723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2376E"/>
    <w:pPr>
      <w:spacing w:before="100" w:beforeAutospacing="1" w:after="100" w:afterAutospacing="1"/>
      <w:outlineLvl w:val="0"/>
    </w:pPr>
    <w:rPr>
      <w:rFonts w:ascii="Trebuchet MS" w:eastAsia="Times New Roman" w:hAnsi="Trebuchet MS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2376E"/>
    <w:pPr>
      <w:spacing w:before="100" w:beforeAutospacing="1" w:after="100" w:afterAutospacing="1" w:line="270" w:lineRule="atLeast"/>
      <w:outlineLvl w:val="1"/>
    </w:pPr>
    <w:rPr>
      <w:rFonts w:ascii="Trebuchet MS" w:eastAsia="Times New Roman" w:hAnsi="Trebuchet MS"/>
      <w:b/>
      <w:bCs/>
      <w:color w:val="3379AD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2376E"/>
    <w:pPr>
      <w:spacing w:before="100" w:beforeAutospacing="1" w:after="100" w:afterAutospacing="1"/>
      <w:outlineLvl w:val="4"/>
    </w:pPr>
    <w:rPr>
      <w:rFonts w:ascii="Trebuchet MS" w:eastAsia="Times New Roman" w:hAnsi="Trebuchet MS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76E"/>
    <w:rPr>
      <w:rFonts w:ascii="Trebuchet MS" w:eastAsia="Times New Roman" w:hAnsi="Trebuchet MS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76E"/>
    <w:rPr>
      <w:rFonts w:ascii="Trebuchet MS" w:eastAsia="Times New Roman" w:hAnsi="Trebuchet MS" w:cs="Times New Roman"/>
      <w:b/>
      <w:bCs/>
      <w:color w:val="3379A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76E"/>
    <w:rPr>
      <w:rFonts w:ascii="Trebuchet MS" w:eastAsia="Times New Roman" w:hAnsi="Trebuchet MS" w:cs="Times New Roman"/>
      <w:b/>
      <w:bCs/>
      <w:color w:val="333333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237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76E"/>
    <w:rPr>
      <w:rFonts w:ascii="Verdana" w:hAnsi="Verdana"/>
      <w:sz w:val="18"/>
      <w:szCs w:val="18"/>
    </w:rPr>
  </w:style>
  <w:style w:type="paragraph" w:customStyle="1" w:styleId="sidebartext">
    <w:name w:val="sidebartext"/>
    <w:basedOn w:val="Normal"/>
    <w:uiPriority w:val="99"/>
    <w:rsid w:val="0072376E"/>
    <w:rPr>
      <w:rFonts w:ascii="Verdana" w:hAnsi="Verdana"/>
      <w:sz w:val="16"/>
      <w:szCs w:val="16"/>
    </w:rPr>
  </w:style>
  <w:style w:type="character" w:styleId="Strong">
    <w:name w:val="Strong"/>
    <w:basedOn w:val="DefaultParagraphFont"/>
    <w:uiPriority w:val="22"/>
    <w:qFormat/>
    <w:rsid w:val="0072376E"/>
    <w:rPr>
      <w:b/>
      <w:bCs/>
    </w:rPr>
  </w:style>
  <w:style w:type="character" w:styleId="Emphasis">
    <w:name w:val="Emphasis"/>
    <w:basedOn w:val="DefaultParagraphFont"/>
    <w:uiPriority w:val="20"/>
    <w:qFormat/>
    <w:rsid w:val="00723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watersense/our_water/spring2013.html" TargetMode="External"/><Relationship Id="rId13" Type="http://schemas.openxmlformats.org/officeDocument/2006/relationships/hyperlink" Target="mailto:watersense@epa.gov" TargetMode="External"/><Relationship Id="rId18" Type="http://schemas.openxmlformats.org/officeDocument/2006/relationships/hyperlink" Target="http://www.epa.gov/watersen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pa.gov/watersense/our_water/spring2013.html" TargetMode="External"/><Relationship Id="rId7" Type="http://schemas.openxmlformats.org/officeDocument/2006/relationships/image" Target="media/image3.gif"/><Relationship Id="rId12" Type="http://schemas.openxmlformats.org/officeDocument/2006/relationships/hyperlink" Target="http://www.epa.gov/watersense/our_water/spring2013.html" TargetMode="External"/><Relationship Id="rId17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image" Target="media/image5.gif"/><Relationship Id="rId20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epa.gov/watersense/our_water/spring2013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facebook.com/epawatersen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pa.gov/watersense/our_water/spring2013.html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epa.gov/watersense/our_water/spring2013.html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Taft</dc:creator>
  <cp:lastModifiedBy>Jim Taft</cp:lastModifiedBy>
  <cp:revision>1</cp:revision>
  <dcterms:created xsi:type="dcterms:W3CDTF">2013-04-09T17:37:00Z</dcterms:created>
  <dcterms:modified xsi:type="dcterms:W3CDTF">2013-04-09T17:38:00Z</dcterms:modified>
</cp:coreProperties>
</file>