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3F46E" w14:textId="77777777" w:rsidR="004961DB" w:rsidRDefault="004961DB" w:rsidP="004961DB">
      <w:pPr>
        <w:spacing w:after="0" w:line="240" w:lineRule="auto"/>
        <w:jc w:val="center"/>
        <w:rPr>
          <w:rFonts w:ascii="Times New Roman" w:hAnsi="Times New Roman" w:cs="Times New Roman"/>
          <w:b/>
          <w:i/>
          <w:sz w:val="26"/>
          <w:szCs w:val="26"/>
        </w:rPr>
      </w:pPr>
      <w:bookmarkStart w:id="0" w:name="_GoBack"/>
      <w:bookmarkEnd w:id="0"/>
      <w:r w:rsidRPr="004961DB">
        <w:rPr>
          <w:rFonts w:ascii="Times New Roman" w:hAnsi="Times New Roman" w:cs="Times New Roman"/>
          <w:b/>
          <w:i/>
          <w:sz w:val="26"/>
          <w:szCs w:val="26"/>
        </w:rPr>
        <w:t xml:space="preserve">Testimony of Michael G. Baker Representing </w:t>
      </w:r>
    </w:p>
    <w:p w14:paraId="4FD6756E" w14:textId="3904F1C9" w:rsidR="004961DB" w:rsidRPr="004961DB" w:rsidRDefault="004961DB" w:rsidP="004961DB">
      <w:pPr>
        <w:spacing w:after="0" w:line="240" w:lineRule="auto"/>
        <w:jc w:val="center"/>
        <w:rPr>
          <w:rFonts w:ascii="Times New Roman" w:hAnsi="Times New Roman" w:cs="Times New Roman"/>
          <w:b/>
          <w:i/>
          <w:sz w:val="26"/>
          <w:szCs w:val="26"/>
        </w:rPr>
      </w:pPr>
      <w:proofErr w:type="gramStart"/>
      <w:r w:rsidRPr="004961DB">
        <w:rPr>
          <w:rFonts w:ascii="Times New Roman" w:hAnsi="Times New Roman" w:cs="Times New Roman"/>
          <w:b/>
          <w:i/>
          <w:sz w:val="26"/>
          <w:szCs w:val="26"/>
        </w:rPr>
        <w:t>the</w:t>
      </w:r>
      <w:proofErr w:type="gramEnd"/>
      <w:r w:rsidRPr="004961DB">
        <w:rPr>
          <w:rFonts w:ascii="Times New Roman" w:hAnsi="Times New Roman" w:cs="Times New Roman"/>
          <w:b/>
          <w:i/>
          <w:sz w:val="26"/>
          <w:szCs w:val="26"/>
        </w:rPr>
        <w:t xml:space="preserve"> Association of State Drinking Water Administrators </w:t>
      </w:r>
    </w:p>
    <w:p w14:paraId="58228441" w14:textId="77777777" w:rsidR="004961DB" w:rsidRDefault="004961DB" w:rsidP="004961DB">
      <w:pPr>
        <w:spacing w:after="0" w:line="240" w:lineRule="auto"/>
        <w:jc w:val="center"/>
        <w:rPr>
          <w:rFonts w:ascii="Times New Roman" w:hAnsi="Times New Roman" w:cs="Times New Roman"/>
          <w:b/>
          <w:i/>
          <w:sz w:val="26"/>
          <w:szCs w:val="26"/>
        </w:rPr>
      </w:pPr>
    </w:p>
    <w:p w14:paraId="204B98D3" w14:textId="360533DD" w:rsidR="004961DB" w:rsidRPr="004961DB" w:rsidRDefault="004961DB" w:rsidP="004961DB">
      <w:pPr>
        <w:spacing w:after="0" w:line="240" w:lineRule="auto"/>
        <w:jc w:val="center"/>
        <w:rPr>
          <w:rFonts w:ascii="Times New Roman" w:hAnsi="Times New Roman" w:cs="Times New Roman"/>
          <w:b/>
          <w:sz w:val="26"/>
          <w:szCs w:val="26"/>
        </w:rPr>
      </w:pPr>
      <w:r w:rsidRPr="004961DB">
        <w:rPr>
          <w:rFonts w:ascii="Times New Roman" w:hAnsi="Times New Roman" w:cs="Times New Roman"/>
          <w:b/>
          <w:sz w:val="26"/>
          <w:szCs w:val="26"/>
        </w:rPr>
        <w:t xml:space="preserve">Before the Subcommittee on Environment &amp; the Economy </w:t>
      </w:r>
    </w:p>
    <w:p w14:paraId="5B9DBAD9" w14:textId="00A37490" w:rsidR="004961DB" w:rsidRPr="004961DB" w:rsidRDefault="004961DB" w:rsidP="004961DB">
      <w:pPr>
        <w:spacing w:after="0" w:line="240" w:lineRule="auto"/>
        <w:jc w:val="center"/>
        <w:rPr>
          <w:rFonts w:ascii="Times New Roman" w:hAnsi="Times New Roman" w:cs="Times New Roman"/>
          <w:b/>
          <w:sz w:val="26"/>
          <w:szCs w:val="26"/>
        </w:rPr>
      </w:pPr>
      <w:proofErr w:type="gramStart"/>
      <w:r w:rsidRPr="004961DB">
        <w:rPr>
          <w:rFonts w:ascii="Times New Roman" w:hAnsi="Times New Roman" w:cs="Times New Roman"/>
          <w:b/>
          <w:sz w:val="26"/>
          <w:szCs w:val="26"/>
        </w:rPr>
        <w:t>on</w:t>
      </w:r>
      <w:proofErr w:type="gramEnd"/>
      <w:r w:rsidRPr="004961DB">
        <w:rPr>
          <w:rFonts w:ascii="Times New Roman" w:hAnsi="Times New Roman" w:cs="Times New Roman"/>
          <w:b/>
          <w:sz w:val="26"/>
          <w:szCs w:val="26"/>
        </w:rPr>
        <w:t xml:space="preserve"> H.R. 212</w:t>
      </w:r>
      <w:r>
        <w:rPr>
          <w:rFonts w:ascii="Times New Roman" w:hAnsi="Times New Roman" w:cs="Times New Roman"/>
          <w:b/>
          <w:sz w:val="26"/>
          <w:szCs w:val="26"/>
        </w:rPr>
        <w:t>,</w:t>
      </w:r>
      <w:r w:rsidRPr="004961DB">
        <w:rPr>
          <w:rFonts w:ascii="Times New Roman" w:hAnsi="Times New Roman" w:cs="Times New Roman"/>
          <w:b/>
          <w:sz w:val="26"/>
          <w:szCs w:val="26"/>
        </w:rPr>
        <w:t xml:space="preserve"> the Drinking Water Protection Act </w:t>
      </w:r>
    </w:p>
    <w:p w14:paraId="7BC87F14" w14:textId="77777777" w:rsidR="004961DB" w:rsidRDefault="004961DB" w:rsidP="004961DB">
      <w:pPr>
        <w:spacing w:after="0" w:line="240" w:lineRule="auto"/>
        <w:jc w:val="center"/>
        <w:rPr>
          <w:rFonts w:ascii="Times New Roman" w:hAnsi="Times New Roman" w:cs="Times New Roman"/>
          <w:b/>
          <w:i/>
          <w:sz w:val="26"/>
          <w:szCs w:val="26"/>
        </w:rPr>
      </w:pPr>
    </w:p>
    <w:p w14:paraId="577C20BE" w14:textId="77777777" w:rsidR="004961DB" w:rsidRPr="006828B1" w:rsidRDefault="004961DB" w:rsidP="004961DB">
      <w:pPr>
        <w:spacing w:after="0" w:line="240" w:lineRule="auto"/>
        <w:jc w:val="center"/>
        <w:rPr>
          <w:rFonts w:ascii="Times New Roman" w:hAnsi="Times New Roman" w:cs="Times New Roman"/>
          <w:b/>
          <w:sz w:val="24"/>
          <w:szCs w:val="26"/>
        </w:rPr>
      </w:pPr>
      <w:r w:rsidRPr="006828B1">
        <w:rPr>
          <w:rFonts w:ascii="Times New Roman" w:hAnsi="Times New Roman" w:cs="Times New Roman"/>
          <w:b/>
          <w:sz w:val="24"/>
          <w:szCs w:val="26"/>
        </w:rPr>
        <w:t>February 5, 2105</w:t>
      </w:r>
    </w:p>
    <w:p w14:paraId="614AA0F1" w14:textId="77777777" w:rsidR="00844FC9" w:rsidRPr="004961DB" w:rsidRDefault="00844FC9" w:rsidP="004961DB">
      <w:pPr>
        <w:spacing w:after="0" w:line="240" w:lineRule="auto"/>
        <w:rPr>
          <w:rFonts w:ascii="Times New Roman" w:hAnsi="Times New Roman" w:cs="Times New Roman"/>
          <w:b/>
          <w:sz w:val="24"/>
          <w:szCs w:val="24"/>
        </w:rPr>
      </w:pPr>
    </w:p>
    <w:p w14:paraId="00BBAF62" w14:textId="77777777" w:rsidR="004961DB" w:rsidRDefault="004961DB" w:rsidP="004961DB">
      <w:pPr>
        <w:spacing w:after="0" w:line="240" w:lineRule="auto"/>
        <w:rPr>
          <w:rFonts w:ascii="Times New Roman" w:hAnsi="Times New Roman" w:cs="Times New Roman"/>
          <w:b/>
          <w:sz w:val="24"/>
          <w:szCs w:val="24"/>
        </w:rPr>
      </w:pPr>
    </w:p>
    <w:p w14:paraId="070D2195" w14:textId="77777777" w:rsidR="00BA34A2" w:rsidRDefault="00CA3FE1" w:rsidP="00BA34A2">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t xml:space="preserve">Who We </w:t>
      </w:r>
      <w:r w:rsidR="00844FC9">
        <w:rPr>
          <w:rFonts w:ascii="Times New Roman" w:hAnsi="Times New Roman" w:cs="Times New Roman"/>
          <w:b/>
          <w:sz w:val="24"/>
          <w:szCs w:val="24"/>
        </w:rPr>
        <w:t xml:space="preserve">Are:  </w:t>
      </w:r>
      <w:r w:rsidR="00BA34A2">
        <w:rPr>
          <w:rFonts w:ascii="Times New Roman" w:eastAsia="Calibri" w:hAnsi="Times New Roman" w:cs="Times New Roman"/>
          <w:sz w:val="24"/>
          <w:szCs w:val="24"/>
        </w:rPr>
        <w:t xml:space="preserve">I am the administrator of Ohio’s drinking water program </w:t>
      </w:r>
      <w:r>
        <w:rPr>
          <w:rFonts w:ascii="Times New Roman" w:eastAsia="Calibri" w:hAnsi="Times New Roman" w:cs="Times New Roman"/>
          <w:sz w:val="24"/>
          <w:szCs w:val="24"/>
        </w:rPr>
        <w:t xml:space="preserve">within the Ohio Environmental Protection Agency </w:t>
      </w:r>
      <w:r w:rsidR="00BA34A2">
        <w:rPr>
          <w:rFonts w:ascii="Times New Roman" w:eastAsia="Calibri" w:hAnsi="Times New Roman" w:cs="Times New Roman"/>
          <w:sz w:val="24"/>
          <w:szCs w:val="24"/>
        </w:rPr>
        <w:t xml:space="preserve">as well as a recent past President of </w:t>
      </w:r>
      <w:r w:rsidR="0060519B" w:rsidRPr="0060519B">
        <w:rPr>
          <w:rFonts w:ascii="Times New Roman" w:eastAsia="Calibri" w:hAnsi="Times New Roman" w:cs="Times New Roman"/>
          <w:sz w:val="24"/>
          <w:szCs w:val="24"/>
        </w:rPr>
        <w:t>the Association of State Drinking Water Administrators (ASDWA)</w:t>
      </w:r>
      <w:r w:rsidR="00BA34A2">
        <w:rPr>
          <w:rFonts w:ascii="Times New Roman" w:eastAsia="Calibri" w:hAnsi="Times New Roman" w:cs="Times New Roman"/>
          <w:sz w:val="24"/>
          <w:szCs w:val="24"/>
        </w:rPr>
        <w:t xml:space="preserve"> on wh</w:t>
      </w:r>
      <w:r>
        <w:rPr>
          <w:rFonts w:ascii="Times New Roman" w:eastAsia="Calibri" w:hAnsi="Times New Roman" w:cs="Times New Roman"/>
          <w:sz w:val="24"/>
          <w:szCs w:val="24"/>
        </w:rPr>
        <w:t>ose behalf I’m testifying today</w:t>
      </w:r>
      <w:r w:rsidR="0060519B" w:rsidRPr="0060519B">
        <w:rPr>
          <w:rFonts w:ascii="Times New Roman" w:eastAsia="Calibri" w:hAnsi="Times New Roman" w:cs="Times New Roman"/>
          <w:sz w:val="24"/>
          <w:szCs w:val="24"/>
        </w:rPr>
        <w:t xml:space="preserve">.  ASDWA represents the collective interests of the fifty states, the five territories, the Navajo Nation, and the District of Columbia.  </w:t>
      </w:r>
    </w:p>
    <w:p w14:paraId="1DCE176A" w14:textId="77777777" w:rsidR="00BA34A2" w:rsidRDefault="00BA34A2" w:rsidP="00BA34A2">
      <w:pPr>
        <w:spacing w:after="0" w:line="240" w:lineRule="auto"/>
        <w:rPr>
          <w:rFonts w:ascii="Times New Roman" w:eastAsia="Calibri" w:hAnsi="Times New Roman" w:cs="Times New Roman"/>
          <w:sz w:val="24"/>
          <w:szCs w:val="24"/>
        </w:rPr>
      </w:pPr>
    </w:p>
    <w:p w14:paraId="0664FF86" w14:textId="77777777" w:rsidR="00BA34A2" w:rsidRDefault="00BA34A2" w:rsidP="00BA34A2">
      <w:pPr>
        <w:spacing w:after="0" w:line="240" w:lineRule="auto"/>
        <w:rPr>
          <w:rFonts w:ascii="Times New Roman" w:hAnsi="Times New Roman" w:cs="Times New Roman"/>
          <w:b/>
          <w:color w:val="C00000"/>
          <w:sz w:val="24"/>
          <w:szCs w:val="24"/>
        </w:rPr>
      </w:pPr>
      <w:r w:rsidRPr="00844FC9">
        <w:rPr>
          <w:rFonts w:ascii="Times New Roman" w:hAnsi="Times New Roman" w:cs="Times New Roman"/>
          <w:b/>
          <w:sz w:val="24"/>
          <w:szCs w:val="24"/>
        </w:rPr>
        <w:t>The Continuing Challenges Posed by HABs; My Approach to Today’s Testimony</w:t>
      </w:r>
      <w:r w:rsidR="00844FC9">
        <w:rPr>
          <w:rFonts w:ascii="Times New Roman" w:hAnsi="Times New Roman" w:cs="Times New Roman"/>
          <w:b/>
          <w:sz w:val="24"/>
          <w:szCs w:val="24"/>
        </w:rPr>
        <w:t xml:space="preserve">:  </w:t>
      </w:r>
      <w:r>
        <w:rPr>
          <w:rFonts w:ascii="Times New Roman" w:hAnsi="Times New Roman" w:cs="Times New Roman"/>
          <w:sz w:val="24"/>
          <w:szCs w:val="24"/>
        </w:rPr>
        <w:t xml:space="preserve">Director Craig Butler of the Ohio EPA testified before this committee </w:t>
      </w:r>
      <w:r w:rsidR="00CA3FE1">
        <w:rPr>
          <w:rFonts w:ascii="Times New Roman" w:hAnsi="Times New Roman" w:cs="Times New Roman"/>
          <w:sz w:val="24"/>
          <w:szCs w:val="24"/>
        </w:rPr>
        <w:t xml:space="preserve">in November 2014 </w:t>
      </w:r>
      <w:r>
        <w:rPr>
          <w:rFonts w:ascii="Times New Roman" w:hAnsi="Times New Roman" w:cs="Times New Roman"/>
          <w:sz w:val="24"/>
          <w:szCs w:val="24"/>
        </w:rPr>
        <w:t>on the subject of Harmful Algal Blooms, and, in particular, Ohio’s experiences with th</w:t>
      </w:r>
      <w:r w:rsidR="00CA3FE1">
        <w:rPr>
          <w:rFonts w:ascii="Times New Roman" w:hAnsi="Times New Roman" w:cs="Times New Roman"/>
          <w:sz w:val="24"/>
          <w:szCs w:val="24"/>
        </w:rPr>
        <w:t xml:space="preserve">e </w:t>
      </w:r>
      <w:r>
        <w:rPr>
          <w:rFonts w:ascii="Times New Roman" w:hAnsi="Times New Roman" w:cs="Times New Roman"/>
          <w:sz w:val="24"/>
          <w:szCs w:val="24"/>
        </w:rPr>
        <w:t>August 2014 incident in Toledo and its aftermath.  Today, I would</w:t>
      </w:r>
      <w:r w:rsidR="00CA3FE1">
        <w:rPr>
          <w:rFonts w:ascii="Times New Roman" w:hAnsi="Times New Roman" w:cs="Times New Roman"/>
          <w:sz w:val="24"/>
          <w:szCs w:val="24"/>
        </w:rPr>
        <w:t xml:space="preserve"> like to speak on behalf of </w:t>
      </w:r>
      <w:r>
        <w:rPr>
          <w:rFonts w:ascii="Times New Roman" w:hAnsi="Times New Roman" w:cs="Times New Roman"/>
          <w:sz w:val="24"/>
          <w:szCs w:val="24"/>
        </w:rPr>
        <w:t>ASDWA and represe</w:t>
      </w:r>
      <w:r w:rsidR="00CA3FE1">
        <w:rPr>
          <w:rFonts w:ascii="Times New Roman" w:hAnsi="Times New Roman" w:cs="Times New Roman"/>
          <w:sz w:val="24"/>
          <w:szCs w:val="24"/>
        </w:rPr>
        <w:t>nt a broader perspective.  Algal toxins in drinking water are -- and</w:t>
      </w:r>
      <w:r>
        <w:rPr>
          <w:rFonts w:ascii="Times New Roman" w:hAnsi="Times New Roman" w:cs="Times New Roman"/>
          <w:sz w:val="24"/>
          <w:szCs w:val="24"/>
        </w:rPr>
        <w:t xml:space="preserve"> likely </w:t>
      </w:r>
      <w:r w:rsidR="00CA3FE1">
        <w:rPr>
          <w:rFonts w:ascii="Times New Roman" w:hAnsi="Times New Roman" w:cs="Times New Roman"/>
          <w:sz w:val="24"/>
          <w:szCs w:val="24"/>
        </w:rPr>
        <w:t xml:space="preserve">will continue </w:t>
      </w:r>
      <w:r>
        <w:rPr>
          <w:rFonts w:ascii="Times New Roman" w:hAnsi="Times New Roman" w:cs="Times New Roman"/>
          <w:sz w:val="24"/>
          <w:szCs w:val="24"/>
        </w:rPr>
        <w:t xml:space="preserve">to be for the </w:t>
      </w:r>
      <w:proofErr w:type="spellStart"/>
      <w:r>
        <w:rPr>
          <w:rFonts w:ascii="Times New Roman" w:hAnsi="Times New Roman" w:cs="Times New Roman"/>
          <w:sz w:val="24"/>
          <w:szCs w:val="24"/>
        </w:rPr>
        <w:t>forseeable</w:t>
      </w:r>
      <w:proofErr w:type="spellEnd"/>
      <w:r>
        <w:rPr>
          <w:rFonts w:ascii="Times New Roman" w:hAnsi="Times New Roman" w:cs="Times New Roman"/>
          <w:sz w:val="24"/>
          <w:szCs w:val="24"/>
        </w:rPr>
        <w:t xml:space="preserve"> future – an extremely challenging issue for all </w:t>
      </w:r>
      <w:r w:rsidR="00CA3FE1">
        <w:rPr>
          <w:rFonts w:ascii="Times New Roman" w:hAnsi="Times New Roman" w:cs="Times New Roman"/>
          <w:sz w:val="24"/>
          <w:szCs w:val="24"/>
        </w:rPr>
        <w:t xml:space="preserve">of us </w:t>
      </w:r>
      <w:r>
        <w:rPr>
          <w:rFonts w:ascii="Times New Roman" w:hAnsi="Times New Roman" w:cs="Times New Roman"/>
          <w:sz w:val="24"/>
          <w:szCs w:val="24"/>
        </w:rPr>
        <w:t xml:space="preserve">at the Federal, state, and local levels.  Real progress has been made on a number of fronts, but much remains to be done.  </w:t>
      </w:r>
    </w:p>
    <w:p w14:paraId="6BAB6C21" w14:textId="77777777" w:rsidR="004760EF" w:rsidRDefault="004760EF" w:rsidP="00BA34A2">
      <w:pPr>
        <w:spacing w:after="0" w:line="240" w:lineRule="auto"/>
        <w:rPr>
          <w:rFonts w:ascii="Times New Roman" w:hAnsi="Times New Roman" w:cs="Times New Roman"/>
          <w:b/>
          <w:sz w:val="24"/>
          <w:szCs w:val="24"/>
        </w:rPr>
      </w:pPr>
    </w:p>
    <w:p w14:paraId="2A600D86" w14:textId="77777777" w:rsidR="00844FC9" w:rsidRDefault="00844FC9" w:rsidP="00BA34A2">
      <w:pPr>
        <w:spacing w:after="0" w:line="240" w:lineRule="auto"/>
        <w:rPr>
          <w:rFonts w:ascii="Times New Roman" w:hAnsi="Times New Roman" w:cs="Times New Roman"/>
          <w:b/>
          <w:sz w:val="24"/>
          <w:szCs w:val="24"/>
        </w:rPr>
      </w:pPr>
      <w:r w:rsidRPr="00844FC9">
        <w:rPr>
          <w:rFonts w:ascii="Times New Roman" w:hAnsi="Times New Roman" w:cs="Times New Roman"/>
          <w:b/>
          <w:sz w:val="24"/>
          <w:szCs w:val="24"/>
        </w:rPr>
        <w:t xml:space="preserve">PRINCIPAL COMMENTS </w:t>
      </w:r>
      <w:r w:rsidR="001B695A">
        <w:rPr>
          <w:rFonts w:ascii="Times New Roman" w:hAnsi="Times New Roman" w:cs="Times New Roman"/>
          <w:b/>
          <w:sz w:val="24"/>
          <w:szCs w:val="24"/>
        </w:rPr>
        <w:t xml:space="preserve">ON </w:t>
      </w:r>
      <w:r w:rsidR="00EA7F93">
        <w:rPr>
          <w:rFonts w:ascii="Times New Roman" w:hAnsi="Times New Roman" w:cs="Times New Roman"/>
          <w:b/>
          <w:sz w:val="24"/>
          <w:szCs w:val="24"/>
        </w:rPr>
        <w:t>HR 212</w:t>
      </w:r>
      <w:r w:rsidR="001B695A">
        <w:rPr>
          <w:rFonts w:ascii="Times New Roman" w:hAnsi="Times New Roman" w:cs="Times New Roman"/>
          <w:b/>
          <w:sz w:val="24"/>
          <w:szCs w:val="24"/>
        </w:rPr>
        <w:t xml:space="preserve"> </w:t>
      </w:r>
    </w:p>
    <w:p w14:paraId="41F397EF" w14:textId="77777777" w:rsidR="00CA3FE1" w:rsidRDefault="00CA3FE1" w:rsidP="00BA34A2">
      <w:pPr>
        <w:spacing w:after="0" w:line="240" w:lineRule="auto"/>
        <w:rPr>
          <w:rFonts w:ascii="Times New Roman" w:hAnsi="Times New Roman" w:cs="Times New Roman"/>
          <w:b/>
          <w:sz w:val="24"/>
          <w:szCs w:val="24"/>
        </w:rPr>
      </w:pPr>
    </w:p>
    <w:p w14:paraId="391885E4" w14:textId="12E86AA1" w:rsidR="00774E2E" w:rsidRPr="00CA3FE1" w:rsidRDefault="00CA3FE1" w:rsidP="004760EF">
      <w:pPr>
        <w:spacing w:after="0" w:line="240" w:lineRule="auto"/>
        <w:rPr>
          <w:rFonts w:ascii="Times New Roman" w:hAnsi="Times New Roman" w:cs="Times New Roman"/>
          <w:b/>
          <w:sz w:val="24"/>
          <w:szCs w:val="24"/>
        </w:rPr>
      </w:pPr>
      <w:r w:rsidRPr="00CA3FE1">
        <w:rPr>
          <w:rFonts w:ascii="Times New Roman" w:hAnsi="Times New Roman" w:cs="Times New Roman"/>
          <w:b/>
          <w:sz w:val="24"/>
          <w:szCs w:val="24"/>
        </w:rPr>
        <w:t>Overview:</w:t>
      </w:r>
      <w:r w:rsidRPr="00CA3FE1">
        <w:rPr>
          <w:rFonts w:ascii="Times New Roman" w:hAnsi="Times New Roman" w:cs="Times New Roman"/>
          <w:sz w:val="24"/>
          <w:szCs w:val="24"/>
        </w:rPr>
        <w:t xml:space="preserve">  </w:t>
      </w:r>
      <w:r w:rsidR="00CC0160" w:rsidRPr="00CA3FE1">
        <w:rPr>
          <w:rFonts w:ascii="Times New Roman" w:hAnsi="Times New Roman" w:cs="Times New Roman"/>
          <w:sz w:val="24"/>
          <w:szCs w:val="24"/>
        </w:rPr>
        <w:t xml:space="preserve">I’d like to frame my remarks in the context of the various components of H.R. 212, since that’s </w:t>
      </w:r>
      <w:r w:rsidR="00CC0160">
        <w:rPr>
          <w:rFonts w:ascii="Times New Roman" w:hAnsi="Times New Roman" w:cs="Times New Roman"/>
          <w:sz w:val="24"/>
          <w:szCs w:val="24"/>
        </w:rPr>
        <w:t>the impetus for today’s hearing, and to offer a few suggestions for adjustments to the bill’s language.</w:t>
      </w:r>
      <w:r w:rsidR="00CC0160" w:rsidRPr="00CA3FE1">
        <w:rPr>
          <w:rFonts w:ascii="Times New Roman" w:hAnsi="Times New Roman" w:cs="Times New Roman"/>
          <w:b/>
          <w:sz w:val="24"/>
          <w:szCs w:val="24"/>
        </w:rPr>
        <w:t xml:space="preserve"> </w:t>
      </w:r>
      <w:r w:rsidR="00D250C6">
        <w:rPr>
          <w:rFonts w:ascii="Times New Roman" w:hAnsi="Times New Roman" w:cs="Times New Roman"/>
          <w:b/>
          <w:sz w:val="24"/>
          <w:szCs w:val="24"/>
        </w:rPr>
        <w:t xml:space="preserve"> </w:t>
      </w:r>
      <w:r w:rsidR="004760EF" w:rsidRPr="00CA3FE1">
        <w:rPr>
          <w:rFonts w:ascii="Times New Roman" w:hAnsi="Times New Roman" w:cs="Times New Roman"/>
          <w:sz w:val="24"/>
          <w:szCs w:val="24"/>
        </w:rPr>
        <w:t xml:space="preserve">In general, we feel that HR 212 is </w:t>
      </w:r>
      <w:r>
        <w:rPr>
          <w:rFonts w:ascii="Times New Roman" w:hAnsi="Times New Roman" w:cs="Times New Roman"/>
          <w:sz w:val="24"/>
          <w:szCs w:val="24"/>
        </w:rPr>
        <w:t xml:space="preserve">an </w:t>
      </w:r>
      <w:r w:rsidR="004760EF" w:rsidRPr="00CA3FE1">
        <w:rPr>
          <w:rFonts w:ascii="Times New Roman" w:hAnsi="Times New Roman" w:cs="Times New Roman"/>
          <w:sz w:val="24"/>
          <w:szCs w:val="24"/>
        </w:rPr>
        <w:t>appropriate</w:t>
      </w:r>
      <w:r>
        <w:rPr>
          <w:rFonts w:ascii="Times New Roman" w:hAnsi="Times New Roman" w:cs="Times New Roman"/>
          <w:sz w:val="24"/>
          <w:szCs w:val="24"/>
        </w:rPr>
        <w:t xml:space="preserve"> set of requirements that has the potential to advance our collective understanding of algal toxins and further develop the tools to deal with them.  </w:t>
      </w:r>
      <w:r w:rsidR="004760EF" w:rsidRPr="00CA3FE1">
        <w:rPr>
          <w:rFonts w:ascii="Times New Roman" w:hAnsi="Times New Roman" w:cs="Times New Roman"/>
          <w:sz w:val="24"/>
          <w:szCs w:val="24"/>
        </w:rPr>
        <w:t xml:space="preserve">The suite of activities envisioned </w:t>
      </w:r>
      <w:r>
        <w:rPr>
          <w:rFonts w:ascii="Times New Roman" w:hAnsi="Times New Roman" w:cs="Times New Roman"/>
          <w:sz w:val="24"/>
          <w:szCs w:val="24"/>
        </w:rPr>
        <w:t xml:space="preserve">by </w:t>
      </w:r>
      <w:r w:rsidR="004760EF" w:rsidRPr="00CA3FE1">
        <w:rPr>
          <w:rFonts w:ascii="Times New Roman" w:hAnsi="Times New Roman" w:cs="Times New Roman"/>
          <w:sz w:val="24"/>
          <w:szCs w:val="24"/>
        </w:rPr>
        <w:t xml:space="preserve">the </w:t>
      </w:r>
      <w:r>
        <w:rPr>
          <w:rFonts w:ascii="Times New Roman" w:hAnsi="Times New Roman" w:cs="Times New Roman"/>
          <w:sz w:val="24"/>
          <w:szCs w:val="24"/>
        </w:rPr>
        <w:t xml:space="preserve">proposed </w:t>
      </w:r>
      <w:r w:rsidR="004760EF" w:rsidRPr="00CA3FE1">
        <w:rPr>
          <w:rFonts w:ascii="Times New Roman" w:hAnsi="Times New Roman" w:cs="Times New Roman"/>
          <w:sz w:val="24"/>
          <w:szCs w:val="24"/>
        </w:rPr>
        <w:t>bill strike us as the right series of actions and steps to be taking.  Indeed, EPA, in concert with states and other Federal agencies, are already taking several of these actions.  This legislation will</w:t>
      </w:r>
      <w:r w:rsidR="00D250C6">
        <w:rPr>
          <w:rFonts w:ascii="Times New Roman" w:hAnsi="Times New Roman" w:cs="Times New Roman"/>
          <w:sz w:val="24"/>
          <w:szCs w:val="24"/>
        </w:rPr>
        <w:t xml:space="preserve"> </w:t>
      </w:r>
      <w:r w:rsidR="004760EF" w:rsidRPr="00CA3FE1">
        <w:rPr>
          <w:rFonts w:ascii="Times New Roman" w:hAnsi="Times New Roman" w:cs="Times New Roman"/>
          <w:sz w:val="24"/>
          <w:szCs w:val="24"/>
        </w:rPr>
        <w:t xml:space="preserve">underscore and highlight the importance of these steps.   </w:t>
      </w:r>
    </w:p>
    <w:p w14:paraId="7CD53C0A" w14:textId="77777777" w:rsidR="00774E2E" w:rsidRPr="00CA3FE1" w:rsidRDefault="00774E2E" w:rsidP="00BA34A2">
      <w:pPr>
        <w:spacing w:after="0" w:line="240" w:lineRule="auto"/>
        <w:rPr>
          <w:rFonts w:ascii="Times New Roman" w:hAnsi="Times New Roman" w:cs="Times New Roman"/>
          <w:b/>
          <w:sz w:val="24"/>
          <w:szCs w:val="24"/>
        </w:rPr>
      </w:pPr>
    </w:p>
    <w:p w14:paraId="1B6D3F06" w14:textId="4BE57F65" w:rsidR="00622857" w:rsidRDefault="00BA34A2" w:rsidP="00BA34A2">
      <w:pPr>
        <w:spacing w:after="0" w:line="240" w:lineRule="auto"/>
        <w:rPr>
          <w:rFonts w:ascii="Times New Roman" w:hAnsi="Times New Roman" w:cs="Times New Roman"/>
          <w:sz w:val="24"/>
          <w:szCs w:val="24"/>
        </w:rPr>
      </w:pPr>
      <w:r w:rsidRPr="00844FC9">
        <w:rPr>
          <w:rFonts w:ascii="Times New Roman" w:hAnsi="Times New Roman" w:cs="Times New Roman"/>
          <w:b/>
          <w:sz w:val="24"/>
          <w:szCs w:val="24"/>
        </w:rPr>
        <w:t>Strateg</w:t>
      </w:r>
      <w:r w:rsidR="00622857" w:rsidRPr="00844FC9">
        <w:rPr>
          <w:rFonts w:ascii="Times New Roman" w:hAnsi="Times New Roman" w:cs="Times New Roman"/>
          <w:b/>
          <w:sz w:val="24"/>
          <w:szCs w:val="24"/>
        </w:rPr>
        <w:t xml:space="preserve">ic Plan for Cyanotoxin Risk Assessment &amp; Management:  </w:t>
      </w:r>
      <w:r w:rsidRPr="00844FC9">
        <w:rPr>
          <w:rFonts w:ascii="Times New Roman" w:hAnsi="Times New Roman" w:cs="Times New Roman"/>
          <w:sz w:val="24"/>
          <w:szCs w:val="24"/>
        </w:rPr>
        <w:t>Th</w:t>
      </w:r>
      <w:r>
        <w:rPr>
          <w:rFonts w:ascii="Times New Roman" w:hAnsi="Times New Roman" w:cs="Times New Roman"/>
          <w:sz w:val="24"/>
          <w:szCs w:val="24"/>
        </w:rPr>
        <w:t>e bill’s emphasis</w:t>
      </w:r>
      <w:r w:rsidR="00D250C6">
        <w:rPr>
          <w:rFonts w:ascii="Times New Roman" w:hAnsi="Times New Roman" w:cs="Times New Roman"/>
          <w:sz w:val="24"/>
          <w:szCs w:val="24"/>
        </w:rPr>
        <w:t xml:space="preserve"> on a strategic plan </w:t>
      </w:r>
      <w:r w:rsidR="00622857">
        <w:rPr>
          <w:rFonts w:ascii="Times New Roman" w:hAnsi="Times New Roman" w:cs="Times New Roman"/>
          <w:sz w:val="24"/>
          <w:szCs w:val="24"/>
        </w:rPr>
        <w:t xml:space="preserve">is well placed.  It’s become abundantly clear, to those who have wrestled with this issue, that </w:t>
      </w:r>
      <w:r w:rsidR="00D250C6">
        <w:rPr>
          <w:rFonts w:ascii="Times New Roman" w:hAnsi="Times New Roman" w:cs="Times New Roman"/>
          <w:sz w:val="24"/>
          <w:szCs w:val="24"/>
        </w:rPr>
        <w:t xml:space="preserve">the steps involved in </w:t>
      </w:r>
      <w:r w:rsidR="00CC0160">
        <w:rPr>
          <w:rFonts w:ascii="Times New Roman" w:hAnsi="Times New Roman" w:cs="Times New Roman"/>
          <w:sz w:val="24"/>
          <w:szCs w:val="24"/>
        </w:rPr>
        <w:t xml:space="preserve">protecting the public from </w:t>
      </w:r>
      <w:r w:rsidR="00622857">
        <w:rPr>
          <w:rFonts w:ascii="Times New Roman" w:hAnsi="Times New Roman" w:cs="Times New Roman"/>
          <w:sz w:val="24"/>
          <w:szCs w:val="24"/>
        </w:rPr>
        <w:t xml:space="preserve">HABs </w:t>
      </w:r>
      <w:r w:rsidR="00CC0160">
        <w:rPr>
          <w:rFonts w:ascii="Times New Roman" w:hAnsi="Times New Roman" w:cs="Times New Roman"/>
          <w:sz w:val="24"/>
          <w:szCs w:val="24"/>
        </w:rPr>
        <w:t xml:space="preserve">in drinking water </w:t>
      </w:r>
      <w:r w:rsidR="00D250C6">
        <w:rPr>
          <w:rFonts w:ascii="Times New Roman" w:hAnsi="Times New Roman" w:cs="Times New Roman"/>
          <w:sz w:val="24"/>
          <w:szCs w:val="24"/>
        </w:rPr>
        <w:t>are</w:t>
      </w:r>
      <w:r w:rsidR="00622857">
        <w:rPr>
          <w:rFonts w:ascii="Times New Roman" w:hAnsi="Times New Roman" w:cs="Times New Roman"/>
          <w:sz w:val="24"/>
          <w:szCs w:val="24"/>
        </w:rPr>
        <w:t xml:space="preserve"> very much </w:t>
      </w:r>
      <w:r w:rsidR="00D250C6">
        <w:rPr>
          <w:rFonts w:ascii="Times New Roman" w:hAnsi="Times New Roman" w:cs="Times New Roman"/>
          <w:sz w:val="24"/>
          <w:szCs w:val="24"/>
        </w:rPr>
        <w:t xml:space="preserve">part of </w:t>
      </w:r>
      <w:r w:rsidR="00622857">
        <w:rPr>
          <w:rFonts w:ascii="Times New Roman" w:hAnsi="Times New Roman" w:cs="Times New Roman"/>
          <w:sz w:val="24"/>
          <w:szCs w:val="24"/>
        </w:rPr>
        <w:t xml:space="preserve">an interconnected puzzle.  </w:t>
      </w:r>
      <w:r w:rsidR="00A03BCA">
        <w:rPr>
          <w:rFonts w:ascii="Times New Roman" w:hAnsi="Times New Roman" w:cs="Times New Roman"/>
          <w:sz w:val="24"/>
          <w:szCs w:val="24"/>
        </w:rPr>
        <w:t xml:space="preserve">The various challenges relate closely to one another, as I’ll explain more in a moment.  </w:t>
      </w:r>
      <w:r w:rsidR="00622857">
        <w:rPr>
          <w:rFonts w:ascii="Times New Roman" w:hAnsi="Times New Roman" w:cs="Times New Roman"/>
          <w:sz w:val="24"/>
          <w:szCs w:val="24"/>
        </w:rPr>
        <w:t>The problem needs to be attacked holistically and thoughtfully, rather than piecemeal.</w:t>
      </w:r>
      <w:r w:rsidR="00A03BCA">
        <w:rPr>
          <w:rFonts w:ascii="Times New Roman" w:hAnsi="Times New Roman" w:cs="Times New Roman"/>
          <w:sz w:val="24"/>
          <w:szCs w:val="24"/>
        </w:rPr>
        <w:t xml:space="preserve">  </w:t>
      </w:r>
    </w:p>
    <w:p w14:paraId="49179887" w14:textId="77777777" w:rsidR="00622857" w:rsidRPr="00DF38C2" w:rsidRDefault="00622857" w:rsidP="00BA34A2">
      <w:pPr>
        <w:spacing w:after="0" w:line="240" w:lineRule="auto"/>
        <w:rPr>
          <w:rFonts w:ascii="Times New Roman" w:hAnsi="Times New Roman" w:cs="Times New Roman"/>
          <w:i/>
          <w:sz w:val="24"/>
          <w:szCs w:val="24"/>
        </w:rPr>
      </w:pPr>
    </w:p>
    <w:p w14:paraId="29435A98" w14:textId="3BAEBF05" w:rsidR="00DF38C2" w:rsidRPr="00844FC9" w:rsidRDefault="00622857" w:rsidP="00DF38C2">
      <w:pPr>
        <w:spacing w:after="0" w:line="240" w:lineRule="auto"/>
        <w:rPr>
          <w:rFonts w:ascii="Times New Roman" w:hAnsi="Times New Roman" w:cs="Times New Roman"/>
          <w:sz w:val="24"/>
          <w:szCs w:val="24"/>
        </w:rPr>
      </w:pPr>
      <w:r w:rsidRPr="00DF38C2">
        <w:rPr>
          <w:rFonts w:ascii="Times New Roman" w:hAnsi="Times New Roman" w:cs="Times New Roman"/>
          <w:b/>
          <w:sz w:val="24"/>
          <w:szCs w:val="24"/>
        </w:rPr>
        <w:t xml:space="preserve">Comprehensive List of </w:t>
      </w:r>
      <w:r w:rsidR="00A03BCA">
        <w:rPr>
          <w:rFonts w:ascii="Times New Roman" w:hAnsi="Times New Roman" w:cs="Times New Roman"/>
          <w:b/>
          <w:sz w:val="24"/>
          <w:szCs w:val="24"/>
        </w:rPr>
        <w:t xml:space="preserve">Harmful </w:t>
      </w:r>
      <w:proofErr w:type="spellStart"/>
      <w:r w:rsidRPr="00DF38C2">
        <w:rPr>
          <w:rFonts w:ascii="Times New Roman" w:hAnsi="Times New Roman" w:cs="Times New Roman"/>
          <w:b/>
          <w:sz w:val="24"/>
          <w:szCs w:val="24"/>
        </w:rPr>
        <w:t>Cyan</w:t>
      </w:r>
      <w:r w:rsidR="00A03BCA">
        <w:rPr>
          <w:rFonts w:ascii="Times New Roman" w:hAnsi="Times New Roman" w:cs="Times New Roman"/>
          <w:b/>
          <w:sz w:val="24"/>
          <w:szCs w:val="24"/>
        </w:rPr>
        <w:t>o</w:t>
      </w:r>
      <w:r w:rsidRPr="00DF38C2">
        <w:rPr>
          <w:rFonts w:ascii="Times New Roman" w:hAnsi="Times New Roman" w:cs="Times New Roman"/>
          <w:b/>
          <w:sz w:val="24"/>
          <w:szCs w:val="24"/>
        </w:rPr>
        <w:t>toxins</w:t>
      </w:r>
      <w:proofErr w:type="spellEnd"/>
      <w:r w:rsidR="00DF38C2" w:rsidRPr="00844FC9">
        <w:rPr>
          <w:rFonts w:ascii="Times New Roman" w:hAnsi="Times New Roman" w:cs="Times New Roman"/>
          <w:b/>
          <w:sz w:val="24"/>
          <w:szCs w:val="24"/>
        </w:rPr>
        <w:t xml:space="preserve">:  </w:t>
      </w:r>
      <w:r w:rsidR="00DF38C2" w:rsidRPr="00844FC9">
        <w:rPr>
          <w:rFonts w:ascii="Times New Roman" w:hAnsi="Times New Roman" w:cs="Times New Roman"/>
          <w:sz w:val="24"/>
          <w:szCs w:val="24"/>
        </w:rPr>
        <w:t xml:space="preserve">It is indeed </w:t>
      </w:r>
      <w:r w:rsidR="00A03BCA">
        <w:rPr>
          <w:rFonts w:ascii="Times New Roman" w:hAnsi="Times New Roman" w:cs="Times New Roman"/>
          <w:sz w:val="24"/>
          <w:szCs w:val="24"/>
        </w:rPr>
        <w:t xml:space="preserve">appropriate </w:t>
      </w:r>
      <w:r w:rsidR="00DF38C2" w:rsidRPr="00844FC9">
        <w:rPr>
          <w:rFonts w:ascii="Times New Roman" w:hAnsi="Times New Roman" w:cs="Times New Roman"/>
          <w:sz w:val="24"/>
          <w:szCs w:val="24"/>
        </w:rPr>
        <w:t xml:space="preserve">to “establish, publish, and update” a list of </w:t>
      </w:r>
      <w:r w:rsidR="00844FC9" w:rsidRPr="00844FC9">
        <w:rPr>
          <w:rFonts w:ascii="Times New Roman" w:hAnsi="Times New Roman" w:cs="Times New Roman"/>
          <w:sz w:val="24"/>
          <w:szCs w:val="24"/>
        </w:rPr>
        <w:t xml:space="preserve">harmful </w:t>
      </w:r>
      <w:proofErr w:type="spellStart"/>
      <w:r w:rsidR="00DF38C2" w:rsidRPr="00844FC9">
        <w:rPr>
          <w:rFonts w:ascii="Times New Roman" w:hAnsi="Times New Roman" w:cs="Times New Roman"/>
          <w:sz w:val="24"/>
          <w:szCs w:val="24"/>
        </w:rPr>
        <w:t>cyanotoxins</w:t>
      </w:r>
      <w:proofErr w:type="spellEnd"/>
      <w:r w:rsidR="00A03BCA">
        <w:rPr>
          <w:rFonts w:ascii="Times New Roman" w:hAnsi="Times New Roman" w:cs="Times New Roman"/>
          <w:sz w:val="24"/>
          <w:szCs w:val="24"/>
        </w:rPr>
        <w:t>, as the bill would require</w:t>
      </w:r>
      <w:r w:rsidR="00844FC9" w:rsidRPr="00844FC9">
        <w:rPr>
          <w:rFonts w:ascii="Times New Roman" w:hAnsi="Times New Roman" w:cs="Times New Roman"/>
          <w:sz w:val="24"/>
          <w:szCs w:val="24"/>
        </w:rPr>
        <w:t>.  Such a list will drive the work undertaken in other parts of the strategy, such as refining health assessment</w:t>
      </w:r>
      <w:r w:rsidR="00A03BCA">
        <w:rPr>
          <w:rFonts w:ascii="Times New Roman" w:hAnsi="Times New Roman" w:cs="Times New Roman"/>
          <w:sz w:val="24"/>
          <w:szCs w:val="24"/>
        </w:rPr>
        <w:t>s</w:t>
      </w:r>
      <w:r w:rsidR="00844FC9" w:rsidRPr="00844FC9">
        <w:rPr>
          <w:rFonts w:ascii="Times New Roman" w:hAnsi="Times New Roman" w:cs="Times New Roman"/>
          <w:sz w:val="24"/>
          <w:szCs w:val="24"/>
        </w:rPr>
        <w:t>, analytical methods, and treatment effectiveness.</w:t>
      </w:r>
      <w:r w:rsidR="00DF38C2" w:rsidRPr="00844FC9">
        <w:rPr>
          <w:rFonts w:ascii="Times New Roman" w:hAnsi="Times New Roman" w:cs="Times New Roman"/>
          <w:sz w:val="24"/>
          <w:szCs w:val="24"/>
        </w:rPr>
        <w:t xml:space="preserve"> </w:t>
      </w:r>
      <w:r w:rsidR="00A03BCA">
        <w:rPr>
          <w:rFonts w:ascii="Times New Roman" w:hAnsi="Times New Roman" w:cs="Times New Roman"/>
          <w:sz w:val="24"/>
          <w:szCs w:val="24"/>
        </w:rPr>
        <w:t xml:space="preserve">  </w:t>
      </w:r>
      <w:r w:rsidR="00844FC9" w:rsidRPr="00844FC9">
        <w:rPr>
          <w:rFonts w:ascii="Times New Roman" w:hAnsi="Times New Roman" w:cs="Times New Roman"/>
          <w:sz w:val="24"/>
          <w:szCs w:val="24"/>
        </w:rPr>
        <w:t xml:space="preserve">However, priorities </w:t>
      </w:r>
      <w:r w:rsidR="00DF38C2" w:rsidRPr="00844FC9">
        <w:rPr>
          <w:rFonts w:ascii="Times New Roman" w:hAnsi="Times New Roman" w:cs="Times New Roman"/>
          <w:sz w:val="24"/>
          <w:szCs w:val="24"/>
        </w:rPr>
        <w:t xml:space="preserve">should be </w:t>
      </w:r>
      <w:r w:rsidR="00844FC9" w:rsidRPr="00844FC9">
        <w:rPr>
          <w:rFonts w:ascii="Times New Roman" w:hAnsi="Times New Roman" w:cs="Times New Roman"/>
          <w:sz w:val="24"/>
          <w:szCs w:val="24"/>
        </w:rPr>
        <w:t xml:space="preserve">those </w:t>
      </w:r>
      <w:r w:rsidR="00DF38C2" w:rsidRPr="00844FC9">
        <w:rPr>
          <w:rFonts w:ascii="Times New Roman" w:hAnsi="Times New Roman" w:cs="Times New Roman"/>
          <w:sz w:val="24"/>
          <w:szCs w:val="24"/>
        </w:rPr>
        <w:t xml:space="preserve">toxins for which there is evidence suggesting there is </w:t>
      </w:r>
      <w:r w:rsidR="00A03BCA">
        <w:rPr>
          <w:rFonts w:ascii="Times New Roman" w:hAnsi="Times New Roman" w:cs="Times New Roman"/>
          <w:sz w:val="24"/>
          <w:szCs w:val="24"/>
        </w:rPr>
        <w:t xml:space="preserve">a reasonable likelihood that </w:t>
      </w:r>
      <w:r w:rsidR="00DF38C2" w:rsidRPr="00844FC9">
        <w:rPr>
          <w:rFonts w:ascii="Times New Roman" w:hAnsi="Times New Roman" w:cs="Times New Roman"/>
          <w:bCs/>
          <w:sz w:val="24"/>
          <w:szCs w:val="24"/>
        </w:rPr>
        <w:t>they are or may be</w:t>
      </w:r>
      <w:r w:rsidR="00DF38C2" w:rsidRPr="00844FC9">
        <w:rPr>
          <w:rFonts w:ascii="Times New Roman" w:hAnsi="Times New Roman" w:cs="Times New Roman"/>
          <w:sz w:val="24"/>
          <w:szCs w:val="24"/>
        </w:rPr>
        <w:t xml:space="preserve"> in drinking </w:t>
      </w:r>
      <w:r w:rsidR="00DF38C2" w:rsidRPr="00844FC9">
        <w:rPr>
          <w:rFonts w:ascii="Times New Roman" w:hAnsi="Times New Roman" w:cs="Times New Roman"/>
          <w:sz w:val="24"/>
          <w:szCs w:val="24"/>
        </w:rPr>
        <w:lastRenderedPageBreak/>
        <w:t xml:space="preserve">water at levels of concern.   </w:t>
      </w:r>
      <w:r w:rsidR="00844FC9" w:rsidRPr="00844FC9">
        <w:rPr>
          <w:rFonts w:ascii="Times New Roman" w:hAnsi="Times New Roman" w:cs="Times New Roman"/>
          <w:sz w:val="24"/>
          <w:szCs w:val="24"/>
        </w:rPr>
        <w:t xml:space="preserve">The </w:t>
      </w:r>
      <w:r w:rsidR="00DF38C2" w:rsidRPr="00844FC9">
        <w:rPr>
          <w:rFonts w:ascii="Times New Roman" w:hAnsi="Times New Roman" w:cs="Times New Roman"/>
          <w:sz w:val="24"/>
          <w:szCs w:val="24"/>
        </w:rPr>
        <w:t xml:space="preserve">list </w:t>
      </w:r>
      <w:r w:rsidR="00844FC9" w:rsidRPr="00844FC9">
        <w:rPr>
          <w:rFonts w:ascii="Times New Roman" w:hAnsi="Times New Roman" w:cs="Times New Roman"/>
          <w:sz w:val="24"/>
          <w:szCs w:val="24"/>
        </w:rPr>
        <w:t xml:space="preserve">can also </w:t>
      </w:r>
      <w:r w:rsidR="00DF38C2" w:rsidRPr="00844FC9">
        <w:rPr>
          <w:rFonts w:ascii="Times New Roman" w:hAnsi="Times New Roman" w:cs="Times New Roman"/>
          <w:sz w:val="24"/>
          <w:szCs w:val="24"/>
        </w:rPr>
        <w:t>be expanded, if</w:t>
      </w:r>
      <w:r w:rsidR="00D250C6">
        <w:rPr>
          <w:rFonts w:ascii="Times New Roman" w:hAnsi="Times New Roman" w:cs="Times New Roman"/>
          <w:sz w:val="24"/>
          <w:szCs w:val="24"/>
        </w:rPr>
        <w:t>,</w:t>
      </w:r>
      <w:r w:rsidR="00DF38C2" w:rsidRPr="00844FC9">
        <w:rPr>
          <w:rFonts w:ascii="Times New Roman" w:hAnsi="Times New Roman" w:cs="Times New Roman"/>
          <w:sz w:val="24"/>
          <w:szCs w:val="24"/>
        </w:rPr>
        <w:t xml:space="preserve"> in the future, additional </w:t>
      </w:r>
      <w:proofErr w:type="spellStart"/>
      <w:r w:rsidR="00DF38C2" w:rsidRPr="00844FC9">
        <w:rPr>
          <w:rFonts w:ascii="Times New Roman" w:hAnsi="Times New Roman" w:cs="Times New Roman"/>
          <w:sz w:val="24"/>
          <w:szCs w:val="24"/>
        </w:rPr>
        <w:t>cyanotoxins</w:t>
      </w:r>
      <w:proofErr w:type="spellEnd"/>
      <w:r w:rsidR="00DF38C2" w:rsidRPr="00844FC9">
        <w:rPr>
          <w:rFonts w:ascii="Times New Roman" w:hAnsi="Times New Roman" w:cs="Times New Roman"/>
          <w:sz w:val="24"/>
          <w:szCs w:val="24"/>
        </w:rPr>
        <w:t xml:space="preserve"> are found in such co</w:t>
      </w:r>
      <w:r w:rsidR="00A03BCA">
        <w:rPr>
          <w:rFonts w:ascii="Times New Roman" w:hAnsi="Times New Roman" w:cs="Times New Roman"/>
          <w:sz w:val="24"/>
          <w:szCs w:val="24"/>
        </w:rPr>
        <w:t>ncentrations in source waters.</w:t>
      </w:r>
    </w:p>
    <w:p w14:paraId="17F7541C" w14:textId="77777777" w:rsidR="00622857" w:rsidRPr="00844FC9" w:rsidRDefault="00622857" w:rsidP="00BA34A2">
      <w:pPr>
        <w:spacing w:after="0" w:line="240" w:lineRule="auto"/>
        <w:rPr>
          <w:rFonts w:ascii="Times New Roman" w:hAnsi="Times New Roman" w:cs="Times New Roman"/>
          <w:sz w:val="24"/>
          <w:szCs w:val="24"/>
        </w:rPr>
      </w:pPr>
    </w:p>
    <w:p w14:paraId="06627650" w14:textId="392908CE" w:rsidR="00DF38C2" w:rsidRPr="00774E2E" w:rsidRDefault="00DF38C2" w:rsidP="00DF38C2">
      <w:pPr>
        <w:spacing w:after="0" w:line="240" w:lineRule="auto"/>
        <w:rPr>
          <w:rFonts w:ascii="Times New Roman" w:hAnsi="Times New Roman" w:cs="Times New Roman"/>
          <w:sz w:val="24"/>
        </w:rPr>
      </w:pPr>
      <w:r w:rsidRPr="00774E2E">
        <w:rPr>
          <w:rFonts w:ascii="Times New Roman" w:hAnsi="Times New Roman" w:cs="Times New Roman"/>
          <w:b/>
          <w:sz w:val="24"/>
          <w:szCs w:val="24"/>
        </w:rPr>
        <w:t xml:space="preserve">Assess </w:t>
      </w:r>
      <w:r w:rsidR="00622857" w:rsidRPr="00774E2E">
        <w:rPr>
          <w:rFonts w:ascii="Times New Roman" w:hAnsi="Times New Roman" w:cs="Times New Roman"/>
          <w:b/>
          <w:sz w:val="24"/>
          <w:szCs w:val="24"/>
        </w:rPr>
        <w:t xml:space="preserve">Known Adverse Human Health Effects of </w:t>
      </w:r>
      <w:r w:rsidR="00844FC9" w:rsidRPr="00774E2E">
        <w:rPr>
          <w:rFonts w:ascii="Times New Roman" w:hAnsi="Times New Roman" w:cs="Times New Roman"/>
          <w:b/>
          <w:sz w:val="24"/>
          <w:szCs w:val="24"/>
        </w:rPr>
        <w:t xml:space="preserve">Harmful </w:t>
      </w:r>
      <w:proofErr w:type="spellStart"/>
      <w:r w:rsidR="00622857" w:rsidRPr="00774E2E">
        <w:rPr>
          <w:rFonts w:ascii="Times New Roman" w:hAnsi="Times New Roman" w:cs="Times New Roman"/>
          <w:b/>
          <w:sz w:val="24"/>
          <w:szCs w:val="24"/>
        </w:rPr>
        <w:t>Cyanotoxins</w:t>
      </w:r>
      <w:proofErr w:type="spellEnd"/>
      <w:r w:rsidRPr="00774E2E">
        <w:rPr>
          <w:rFonts w:ascii="Times New Roman" w:hAnsi="Times New Roman" w:cs="Times New Roman"/>
          <w:sz w:val="24"/>
          <w:szCs w:val="24"/>
        </w:rPr>
        <w:t xml:space="preserve">:  </w:t>
      </w:r>
      <w:r w:rsidR="00CE3316">
        <w:rPr>
          <w:rFonts w:ascii="Times New Roman" w:hAnsi="Times New Roman" w:cs="Times New Roman"/>
          <w:sz w:val="24"/>
          <w:szCs w:val="24"/>
        </w:rPr>
        <w:t xml:space="preserve">This is perhaps the most critical element of this Bill. </w:t>
      </w:r>
      <w:r w:rsidR="00D250C6">
        <w:rPr>
          <w:rFonts w:ascii="Times New Roman" w:hAnsi="Times New Roman" w:cs="Times New Roman"/>
          <w:sz w:val="24"/>
          <w:szCs w:val="24"/>
        </w:rPr>
        <w:t xml:space="preserve"> </w:t>
      </w:r>
      <w:r w:rsidR="00844FC9" w:rsidRPr="00774E2E">
        <w:rPr>
          <w:rFonts w:ascii="Times New Roman" w:hAnsi="Times New Roman" w:cs="Times New Roman"/>
          <w:sz w:val="24"/>
          <w:szCs w:val="24"/>
        </w:rPr>
        <w:t xml:space="preserve">States </w:t>
      </w:r>
      <w:r w:rsidR="00CE3316">
        <w:rPr>
          <w:rFonts w:ascii="Times New Roman" w:hAnsi="Times New Roman" w:cs="Times New Roman"/>
          <w:sz w:val="24"/>
          <w:szCs w:val="24"/>
        </w:rPr>
        <w:t xml:space="preserve">need </w:t>
      </w:r>
      <w:r w:rsidR="00844FC9" w:rsidRPr="00774E2E">
        <w:rPr>
          <w:rFonts w:ascii="Times New Roman" w:hAnsi="Times New Roman" w:cs="Times New Roman"/>
          <w:sz w:val="24"/>
          <w:szCs w:val="24"/>
        </w:rPr>
        <w:t xml:space="preserve">solid information about the health effects of </w:t>
      </w:r>
      <w:proofErr w:type="spellStart"/>
      <w:r w:rsidR="00844FC9" w:rsidRPr="00774E2E">
        <w:rPr>
          <w:rFonts w:ascii="Times New Roman" w:hAnsi="Times New Roman" w:cs="Times New Roman"/>
          <w:sz w:val="24"/>
          <w:szCs w:val="24"/>
        </w:rPr>
        <w:t>cyanotoxins</w:t>
      </w:r>
      <w:proofErr w:type="spellEnd"/>
      <w:r w:rsidR="00844FC9" w:rsidRPr="00774E2E">
        <w:rPr>
          <w:rFonts w:ascii="Times New Roman" w:hAnsi="Times New Roman" w:cs="Times New Roman"/>
          <w:sz w:val="24"/>
          <w:szCs w:val="24"/>
        </w:rPr>
        <w:t xml:space="preserve">.  At present, individual states are developing their own health benchmarks or relying on consensus bodies, such as the World Health Organization (WHO).  We </w:t>
      </w:r>
      <w:r w:rsidR="00CE3316">
        <w:rPr>
          <w:rFonts w:ascii="Times New Roman" w:hAnsi="Times New Roman" w:cs="Times New Roman"/>
          <w:sz w:val="24"/>
          <w:szCs w:val="24"/>
        </w:rPr>
        <w:t xml:space="preserve">need a national approach based on sound science and </w:t>
      </w:r>
      <w:r w:rsidR="00844FC9" w:rsidRPr="00774E2E">
        <w:rPr>
          <w:rFonts w:ascii="Times New Roman" w:hAnsi="Times New Roman" w:cs="Times New Roman"/>
          <w:sz w:val="24"/>
          <w:szCs w:val="24"/>
        </w:rPr>
        <w:t>welcome EPA</w:t>
      </w:r>
      <w:r w:rsidR="00D250C6">
        <w:rPr>
          <w:rFonts w:ascii="Times New Roman" w:hAnsi="Times New Roman" w:cs="Times New Roman"/>
          <w:sz w:val="24"/>
          <w:szCs w:val="24"/>
        </w:rPr>
        <w:t>-</w:t>
      </w:r>
      <w:r w:rsidR="00844FC9" w:rsidRPr="00774E2E">
        <w:rPr>
          <w:rFonts w:ascii="Times New Roman" w:hAnsi="Times New Roman" w:cs="Times New Roman"/>
          <w:sz w:val="24"/>
          <w:szCs w:val="24"/>
        </w:rPr>
        <w:t xml:space="preserve">derived Health Advisories.  </w:t>
      </w:r>
      <w:r w:rsidRPr="00774E2E">
        <w:rPr>
          <w:rFonts w:ascii="Times New Roman" w:hAnsi="Times New Roman" w:cs="Times New Roman"/>
          <w:sz w:val="24"/>
        </w:rPr>
        <w:t xml:space="preserve">There are a </w:t>
      </w:r>
      <w:r w:rsidR="00844FC9" w:rsidRPr="00774E2E">
        <w:rPr>
          <w:rFonts w:ascii="Times New Roman" w:hAnsi="Times New Roman" w:cs="Times New Roman"/>
          <w:sz w:val="24"/>
        </w:rPr>
        <w:t xml:space="preserve">host of </w:t>
      </w:r>
      <w:r w:rsidRPr="00774E2E">
        <w:rPr>
          <w:rFonts w:ascii="Times New Roman" w:hAnsi="Times New Roman" w:cs="Times New Roman"/>
          <w:sz w:val="24"/>
        </w:rPr>
        <w:t xml:space="preserve">assumptions and uncertainty factors </w:t>
      </w:r>
      <w:r w:rsidR="00A03BCA">
        <w:rPr>
          <w:rFonts w:ascii="Times New Roman" w:hAnsi="Times New Roman" w:cs="Times New Roman"/>
          <w:sz w:val="24"/>
        </w:rPr>
        <w:t xml:space="preserve">that need to </w:t>
      </w:r>
      <w:r w:rsidR="00D250C6">
        <w:rPr>
          <w:rFonts w:ascii="Times New Roman" w:hAnsi="Times New Roman" w:cs="Times New Roman"/>
          <w:sz w:val="24"/>
        </w:rPr>
        <w:t xml:space="preserve">be </w:t>
      </w:r>
      <w:r w:rsidR="00A03BCA">
        <w:rPr>
          <w:rFonts w:ascii="Times New Roman" w:hAnsi="Times New Roman" w:cs="Times New Roman"/>
          <w:sz w:val="24"/>
        </w:rPr>
        <w:t>considered</w:t>
      </w:r>
      <w:r w:rsidRPr="00774E2E">
        <w:rPr>
          <w:rFonts w:ascii="Times New Roman" w:hAnsi="Times New Roman" w:cs="Times New Roman"/>
          <w:sz w:val="24"/>
        </w:rPr>
        <w:t xml:space="preserve"> in establishing an advisory level as well as policy considerations (e.g.</w:t>
      </w:r>
      <w:r w:rsidR="00A03BCA">
        <w:rPr>
          <w:rFonts w:ascii="Times New Roman" w:hAnsi="Times New Roman" w:cs="Times New Roman"/>
          <w:sz w:val="24"/>
        </w:rPr>
        <w:t>,</w:t>
      </w:r>
      <w:r w:rsidRPr="00774E2E">
        <w:rPr>
          <w:rFonts w:ascii="Times New Roman" w:hAnsi="Times New Roman" w:cs="Times New Roman"/>
          <w:sz w:val="24"/>
        </w:rPr>
        <w:t xml:space="preserve"> </w:t>
      </w:r>
      <w:r w:rsidR="00A03BCA">
        <w:rPr>
          <w:rFonts w:ascii="Times New Roman" w:hAnsi="Times New Roman" w:cs="Times New Roman"/>
          <w:sz w:val="24"/>
        </w:rPr>
        <w:t xml:space="preserve">a </w:t>
      </w:r>
      <w:r w:rsidRPr="00774E2E">
        <w:rPr>
          <w:rFonts w:ascii="Times New Roman" w:hAnsi="Times New Roman" w:cs="Times New Roman"/>
          <w:sz w:val="24"/>
        </w:rPr>
        <w:t>tiered standard for sensitive populations v</w:t>
      </w:r>
      <w:r w:rsidR="00844FC9" w:rsidRPr="00774E2E">
        <w:rPr>
          <w:rFonts w:ascii="Times New Roman" w:hAnsi="Times New Roman" w:cs="Times New Roman"/>
          <w:sz w:val="24"/>
        </w:rPr>
        <w:t>s.</w:t>
      </w:r>
      <w:r w:rsidR="00CE3316">
        <w:rPr>
          <w:rFonts w:ascii="Times New Roman" w:hAnsi="Times New Roman" w:cs="Times New Roman"/>
          <w:sz w:val="24"/>
        </w:rPr>
        <w:t xml:space="preserve"> </w:t>
      </w:r>
      <w:r w:rsidRPr="00774E2E">
        <w:rPr>
          <w:rFonts w:ascii="Times New Roman" w:hAnsi="Times New Roman" w:cs="Times New Roman"/>
          <w:sz w:val="24"/>
        </w:rPr>
        <w:t>healthy adult</w:t>
      </w:r>
      <w:r w:rsidR="00A03BCA">
        <w:rPr>
          <w:rFonts w:ascii="Times New Roman" w:hAnsi="Times New Roman" w:cs="Times New Roman"/>
          <w:sz w:val="24"/>
        </w:rPr>
        <w:t xml:space="preserve">s; </w:t>
      </w:r>
      <w:r w:rsidRPr="00774E2E">
        <w:rPr>
          <w:rFonts w:ascii="Times New Roman" w:hAnsi="Times New Roman" w:cs="Times New Roman"/>
          <w:sz w:val="24"/>
        </w:rPr>
        <w:t>acute v</w:t>
      </w:r>
      <w:r w:rsidR="00A03BCA">
        <w:rPr>
          <w:rFonts w:ascii="Times New Roman" w:hAnsi="Times New Roman" w:cs="Times New Roman"/>
          <w:sz w:val="24"/>
        </w:rPr>
        <w:t xml:space="preserve">s. </w:t>
      </w:r>
      <w:r w:rsidRPr="00774E2E">
        <w:rPr>
          <w:rFonts w:ascii="Times New Roman" w:hAnsi="Times New Roman" w:cs="Times New Roman"/>
          <w:sz w:val="24"/>
        </w:rPr>
        <w:t>multi-day exposure</w:t>
      </w:r>
      <w:r w:rsidR="00A03BCA">
        <w:rPr>
          <w:rFonts w:ascii="Times New Roman" w:hAnsi="Times New Roman" w:cs="Times New Roman"/>
          <w:sz w:val="24"/>
        </w:rPr>
        <w:t xml:space="preserve">; and </w:t>
      </w:r>
      <w:r w:rsidRPr="00774E2E">
        <w:rPr>
          <w:rFonts w:ascii="Times New Roman" w:hAnsi="Times New Roman" w:cs="Times New Roman"/>
          <w:sz w:val="24"/>
        </w:rPr>
        <w:t xml:space="preserve">single congener or consideration of equivalent </w:t>
      </w:r>
      <w:proofErr w:type="spellStart"/>
      <w:r w:rsidRPr="00774E2E">
        <w:rPr>
          <w:rFonts w:ascii="Times New Roman" w:hAnsi="Times New Roman" w:cs="Times New Roman"/>
          <w:sz w:val="24"/>
        </w:rPr>
        <w:t>cyanotoxins</w:t>
      </w:r>
      <w:proofErr w:type="spellEnd"/>
      <w:r w:rsidRPr="00774E2E">
        <w:rPr>
          <w:rFonts w:ascii="Times New Roman" w:hAnsi="Times New Roman" w:cs="Times New Roman"/>
          <w:sz w:val="24"/>
        </w:rPr>
        <w:t xml:space="preserve"> in water).  </w:t>
      </w:r>
      <w:r w:rsidR="00D03C73" w:rsidRPr="00774E2E">
        <w:rPr>
          <w:rFonts w:ascii="Times New Roman" w:hAnsi="Times New Roman" w:cs="Times New Roman"/>
          <w:sz w:val="24"/>
        </w:rPr>
        <w:t>W</w:t>
      </w:r>
      <w:r w:rsidR="00A03BCA">
        <w:rPr>
          <w:rFonts w:ascii="Times New Roman" w:hAnsi="Times New Roman" w:cs="Times New Roman"/>
          <w:sz w:val="24"/>
        </w:rPr>
        <w:t>e</w:t>
      </w:r>
      <w:r w:rsidR="00D03C73" w:rsidRPr="00774E2E">
        <w:rPr>
          <w:rFonts w:ascii="Times New Roman" w:hAnsi="Times New Roman" w:cs="Times New Roman"/>
          <w:sz w:val="24"/>
        </w:rPr>
        <w:t xml:space="preserve"> </w:t>
      </w:r>
      <w:r w:rsidR="00A03BCA">
        <w:rPr>
          <w:rFonts w:ascii="Times New Roman" w:hAnsi="Times New Roman" w:cs="Times New Roman"/>
          <w:sz w:val="24"/>
        </w:rPr>
        <w:t xml:space="preserve">support this provision of the bill and </w:t>
      </w:r>
      <w:r w:rsidR="00D03C73" w:rsidRPr="00774E2E">
        <w:rPr>
          <w:rFonts w:ascii="Times New Roman" w:hAnsi="Times New Roman" w:cs="Times New Roman"/>
          <w:sz w:val="24"/>
        </w:rPr>
        <w:t>believe that s</w:t>
      </w:r>
      <w:r w:rsidRPr="00774E2E">
        <w:rPr>
          <w:rFonts w:ascii="Times New Roman" w:hAnsi="Times New Roman" w:cs="Times New Roman"/>
          <w:sz w:val="24"/>
        </w:rPr>
        <w:t>tates need to be engaged in th</w:t>
      </w:r>
      <w:r w:rsidR="00A03BCA">
        <w:rPr>
          <w:rFonts w:ascii="Times New Roman" w:hAnsi="Times New Roman" w:cs="Times New Roman"/>
          <w:sz w:val="24"/>
        </w:rPr>
        <w:t xml:space="preserve">ese health assessment </w:t>
      </w:r>
      <w:r w:rsidRPr="00774E2E">
        <w:rPr>
          <w:rFonts w:ascii="Times New Roman" w:hAnsi="Times New Roman" w:cs="Times New Roman"/>
          <w:sz w:val="24"/>
        </w:rPr>
        <w:t>deliberations before the advisory number is finalized.</w:t>
      </w:r>
    </w:p>
    <w:p w14:paraId="0A61A120" w14:textId="77777777" w:rsidR="00DF38C2" w:rsidRPr="00774E2E" w:rsidRDefault="00DF38C2" w:rsidP="00DF38C2">
      <w:pPr>
        <w:spacing w:after="0" w:line="240" w:lineRule="auto"/>
        <w:rPr>
          <w:rFonts w:ascii="Times New Roman" w:hAnsi="Times New Roman" w:cs="Times New Roman"/>
          <w:sz w:val="24"/>
        </w:rPr>
      </w:pPr>
    </w:p>
    <w:p w14:paraId="5E6EF5BB" w14:textId="198482FE" w:rsidR="00C15009" w:rsidRPr="00774E2E" w:rsidRDefault="00622857" w:rsidP="00C15009">
      <w:pPr>
        <w:spacing w:after="0" w:line="240" w:lineRule="auto"/>
        <w:rPr>
          <w:rFonts w:ascii="Times New Roman" w:hAnsi="Times New Roman" w:cs="Times New Roman"/>
          <w:sz w:val="24"/>
          <w:szCs w:val="24"/>
        </w:rPr>
      </w:pPr>
      <w:proofErr w:type="gramStart"/>
      <w:r w:rsidRPr="00774E2E">
        <w:rPr>
          <w:rFonts w:ascii="Times New Roman" w:hAnsi="Times New Roman" w:cs="Times New Roman"/>
          <w:b/>
          <w:sz w:val="24"/>
          <w:szCs w:val="24"/>
        </w:rPr>
        <w:t>Factors that Cause Cyanobacteria to Proliferate and Express Toxins</w:t>
      </w:r>
      <w:r w:rsidR="00C15009">
        <w:rPr>
          <w:rFonts w:ascii="Times New Roman" w:hAnsi="Times New Roman" w:cs="Times New Roman"/>
          <w:b/>
          <w:sz w:val="24"/>
          <w:szCs w:val="24"/>
        </w:rPr>
        <w:t>/Monitoring Strategies</w:t>
      </w:r>
      <w:r w:rsidR="00D03C73" w:rsidRPr="00774E2E">
        <w:rPr>
          <w:rFonts w:ascii="Times New Roman" w:hAnsi="Times New Roman" w:cs="Times New Roman"/>
          <w:b/>
          <w:sz w:val="24"/>
          <w:szCs w:val="24"/>
        </w:rPr>
        <w:t xml:space="preserve">:  </w:t>
      </w:r>
      <w:r w:rsidR="00D03C73" w:rsidRPr="00774E2E">
        <w:rPr>
          <w:rFonts w:ascii="Times New Roman" w:hAnsi="Times New Roman" w:cs="Times New Roman"/>
          <w:sz w:val="24"/>
          <w:szCs w:val="24"/>
        </w:rPr>
        <w:t>Additional i</w:t>
      </w:r>
      <w:r w:rsidR="00DF38C2" w:rsidRPr="00774E2E">
        <w:rPr>
          <w:rFonts w:ascii="Times New Roman" w:hAnsi="Times New Roman" w:cs="Times New Roman"/>
          <w:sz w:val="24"/>
          <w:szCs w:val="24"/>
        </w:rPr>
        <w:t>nformation</w:t>
      </w:r>
      <w:r w:rsidR="00D03C73" w:rsidRPr="00774E2E">
        <w:rPr>
          <w:rFonts w:ascii="Times New Roman" w:hAnsi="Times New Roman" w:cs="Times New Roman"/>
          <w:sz w:val="24"/>
          <w:szCs w:val="24"/>
        </w:rPr>
        <w:t xml:space="preserve"> o</w:t>
      </w:r>
      <w:r w:rsidR="00DF38C2" w:rsidRPr="00774E2E">
        <w:rPr>
          <w:rFonts w:ascii="Times New Roman" w:hAnsi="Times New Roman" w:cs="Times New Roman"/>
          <w:sz w:val="24"/>
          <w:szCs w:val="24"/>
        </w:rPr>
        <w:t xml:space="preserve">n the “ecology” of cyanobacteria, including what triggers </w:t>
      </w:r>
      <w:r w:rsidR="00D03C73" w:rsidRPr="00774E2E">
        <w:rPr>
          <w:rFonts w:ascii="Times New Roman" w:hAnsi="Times New Roman" w:cs="Times New Roman"/>
          <w:sz w:val="24"/>
          <w:szCs w:val="24"/>
        </w:rPr>
        <w:t>them to produce cyantoxins</w:t>
      </w:r>
      <w:r w:rsidR="00B6579D">
        <w:rPr>
          <w:rFonts w:ascii="Times New Roman" w:hAnsi="Times New Roman" w:cs="Times New Roman"/>
          <w:sz w:val="24"/>
          <w:szCs w:val="24"/>
        </w:rPr>
        <w:t>,</w:t>
      </w:r>
      <w:r w:rsidR="00D03C73" w:rsidRPr="00774E2E">
        <w:rPr>
          <w:rFonts w:ascii="Times New Roman" w:hAnsi="Times New Roman" w:cs="Times New Roman"/>
          <w:sz w:val="24"/>
          <w:szCs w:val="24"/>
        </w:rPr>
        <w:t xml:space="preserve"> is </w:t>
      </w:r>
      <w:r w:rsidR="000D0F20">
        <w:rPr>
          <w:rFonts w:ascii="Times New Roman" w:hAnsi="Times New Roman" w:cs="Times New Roman"/>
          <w:sz w:val="24"/>
          <w:szCs w:val="24"/>
        </w:rPr>
        <w:t xml:space="preserve">also </w:t>
      </w:r>
      <w:r w:rsidR="00D03C73" w:rsidRPr="00774E2E">
        <w:rPr>
          <w:rFonts w:ascii="Times New Roman" w:hAnsi="Times New Roman" w:cs="Times New Roman"/>
          <w:sz w:val="24"/>
          <w:szCs w:val="24"/>
        </w:rPr>
        <w:t>sorely needed.</w:t>
      </w:r>
      <w:proofErr w:type="gramEnd"/>
      <w:r w:rsidR="00D03C73" w:rsidRPr="00774E2E">
        <w:rPr>
          <w:rFonts w:ascii="Times New Roman" w:hAnsi="Times New Roman" w:cs="Times New Roman"/>
          <w:sz w:val="24"/>
          <w:szCs w:val="24"/>
        </w:rPr>
        <w:t xml:space="preserve">  HABs sometimes follow predictable paths</w:t>
      </w:r>
      <w:r w:rsidR="00A03BCA">
        <w:rPr>
          <w:rFonts w:ascii="Times New Roman" w:hAnsi="Times New Roman" w:cs="Times New Roman"/>
          <w:sz w:val="24"/>
          <w:szCs w:val="24"/>
        </w:rPr>
        <w:t>;</w:t>
      </w:r>
      <w:r w:rsidR="00D03C73" w:rsidRPr="00774E2E">
        <w:rPr>
          <w:rFonts w:ascii="Times New Roman" w:hAnsi="Times New Roman" w:cs="Times New Roman"/>
          <w:sz w:val="24"/>
          <w:szCs w:val="24"/>
        </w:rPr>
        <w:t xml:space="preserve"> but sometimes the causes and timing of algal proliferation are much harder to predict.  </w:t>
      </w:r>
      <w:r w:rsidR="00A03BCA">
        <w:rPr>
          <w:rFonts w:ascii="Times New Roman" w:hAnsi="Times New Roman" w:cs="Times New Roman"/>
          <w:sz w:val="24"/>
          <w:szCs w:val="24"/>
        </w:rPr>
        <w:t>The state of k</w:t>
      </w:r>
      <w:r w:rsidR="00D03C73" w:rsidRPr="00774E2E">
        <w:rPr>
          <w:rFonts w:ascii="Times New Roman" w:hAnsi="Times New Roman" w:cs="Times New Roman"/>
          <w:sz w:val="24"/>
          <w:szCs w:val="24"/>
        </w:rPr>
        <w:t xml:space="preserve">nowledge about the key parameters to measure and </w:t>
      </w:r>
      <w:r w:rsidR="00A03BCA">
        <w:rPr>
          <w:rFonts w:ascii="Times New Roman" w:hAnsi="Times New Roman" w:cs="Times New Roman"/>
          <w:sz w:val="24"/>
          <w:szCs w:val="24"/>
        </w:rPr>
        <w:t xml:space="preserve">the most appropriate </w:t>
      </w:r>
      <w:r w:rsidR="00D03C73" w:rsidRPr="00774E2E">
        <w:rPr>
          <w:rFonts w:ascii="Times New Roman" w:hAnsi="Times New Roman" w:cs="Times New Roman"/>
          <w:sz w:val="24"/>
          <w:szCs w:val="24"/>
        </w:rPr>
        <w:t xml:space="preserve">monitoring strategies </w:t>
      </w:r>
      <w:r w:rsidR="00A03BCA">
        <w:rPr>
          <w:rFonts w:ascii="Times New Roman" w:hAnsi="Times New Roman" w:cs="Times New Roman"/>
          <w:sz w:val="24"/>
          <w:szCs w:val="24"/>
        </w:rPr>
        <w:t xml:space="preserve">needs to be enhanced.  </w:t>
      </w:r>
      <w:r w:rsidR="00D03C73" w:rsidRPr="00774E2E">
        <w:rPr>
          <w:rFonts w:ascii="Times New Roman" w:hAnsi="Times New Roman" w:cs="Times New Roman"/>
          <w:sz w:val="24"/>
          <w:szCs w:val="24"/>
        </w:rPr>
        <w:t xml:space="preserve">This is also an area in which consultation and coordination </w:t>
      </w:r>
      <w:r w:rsidR="00A03BCA">
        <w:rPr>
          <w:rFonts w:ascii="Times New Roman" w:hAnsi="Times New Roman" w:cs="Times New Roman"/>
          <w:sz w:val="24"/>
          <w:szCs w:val="24"/>
        </w:rPr>
        <w:t xml:space="preserve">(another key provision of the bill) </w:t>
      </w:r>
      <w:r w:rsidR="00D03C73" w:rsidRPr="00774E2E">
        <w:rPr>
          <w:rFonts w:ascii="Times New Roman" w:hAnsi="Times New Roman" w:cs="Times New Roman"/>
          <w:sz w:val="24"/>
          <w:szCs w:val="24"/>
        </w:rPr>
        <w:t xml:space="preserve">are essential.  </w:t>
      </w:r>
      <w:r w:rsidR="00A03BCA">
        <w:rPr>
          <w:rFonts w:ascii="Times New Roman" w:hAnsi="Times New Roman" w:cs="Times New Roman"/>
          <w:sz w:val="24"/>
          <w:szCs w:val="24"/>
        </w:rPr>
        <w:t>For instance, s</w:t>
      </w:r>
      <w:r w:rsidR="00D03C73" w:rsidRPr="00774E2E">
        <w:rPr>
          <w:rFonts w:ascii="Times New Roman" w:hAnsi="Times New Roman" w:cs="Times New Roman"/>
          <w:sz w:val="24"/>
          <w:szCs w:val="24"/>
        </w:rPr>
        <w:t>ome of the early predictive assessment</w:t>
      </w:r>
      <w:r w:rsidR="00775621">
        <w:rPr>
          <w:rFonts w:ascii="Times New Roman" w:hAnsi="Times New Roman" w:cs="Times New Roman"/>
          <w:sz w:val="24"/>
          <w:szCs w:val="24"/>
        </w:rPr>
        <w:t xml:space="preserve"> tools </w:t>
      </w:r>
      <w:r w:rsidR="00D03C73" w:rsidRPr="00774E2E">
        <w:rPr>
          <w:rFonts w:ascii="Times New Roman" w:hAnsi="Times New Roman" w:cs="Times New Roman"/>
          <w:sz w:val="24"/>
          <w:szCs w:val="24"/>
        </w:rPr>
        <w:t xml:space="preserve">and models </w:t>
      </w:r>
      <w:r w:rsidR="00775621">
        <w:rPr>
          <w:rFonts w:ascii="Times New Roman" w:hAnsi="Times New Roman" w:cs="Times New Roman"/>
          <w:sz w:val="24"/>
          <w:szCs w:val="24"/>
        </w:rPr>
        <w:t>used by the National Oceanographic and Atmospheric Administration (</w:t>
      </w:r>
      <w:r w:rsidR="00D03C73" w:rsidRPr="00774E2E">
        <w:rPr>
          <w:rFonts w:ascii="Times New Roman" w:hAnsi="Times New Roman" w:cs="Times New Roman"/>
          <w:sz w:val="24"/>
          <w:szCs w:val="24"/>
        </w:rPr>
        <w:t>NOAA</w:t>
      </w:r>
      <w:r w:rsidR="00775621">
        <w:rPr>
          <w:rFonts w:ascii="Times New Roman" w:hAnsi="Times New Roman" w:cs="Times New Roman"/>
          <w:sz w:val="24"/>
          <w:szCs w:val="24"/>
        </w:rPr>
        <w:t>)</w:t>
      </w:r>
      <w:r w:rsidR="00D03C73" w:rsidRPr="00774E2E">
        <w:rPr>
          <w:rFonts w:ascii="Times New Roman" w:hAnsi="Times New Roman" w:cs="Times New Roman"/>
          <w:sz w:val="24"/>
          <w:szCs w:val="24"/>
        </w:rPr>
        <w:t xml:space="preserve"> </w:t>
      </w:r>
      <w:r w:rsidR="00FF2C76">
        <w:rPr>
          <w:rFonts w:ascii="Times New Roman" w:hAnsi="Times New Roman" w:cs="Times New Roman"/>
          <w:sz w:val="24"/>
          <w:szCs w:val="24"/>
        </w:rPr>
        <w:t xml:space="preserve">and </w:t>
      </w:r>
      <w:r w:rsidR="00503487">
        <w:rPr>
          <w:rFonts w:ascii="Times New Roman" w:hAnsi="Times New Roman" w:cs="Times New Roman"/>
          <w:sz w:val="24"/>
          <w:szCs w:val="24"/>
        </w:rPr>
        <w:t xml:space="preserve">the </w:t>
      </w:r>
      <w:r w:rsidR="00FF2C76">
        <w:rPr>
          <w:rFonts w:ascii="Times New Roman" w:hAnsi="Times New Roman" w:cs="Times New Roman"/>
          <w:sz w:val="24"/>
          <w:szCs w:val="24"/>
        </w:rPr>
        <w:t xml:space="preserve">National Aeronautics and Space Administration (NASA) </w:t>
      </w:r>
      <w:r w:rsidR="00D03C73" w:rsidRPr="00774E2E">
        <w:rPr>
          <w:rFonts w:ascii="Times New Roman" w:hAnsi="Times New Roman" w:cs="Times New Roman"/>
          <w:sz w:val="24"/>
          <w:szCs w:val="24"/>
        </w:rPr>
        <w:t>on portions of the Great Lakes are showing great promise.</w:t>
      </w:r>
      <w:r w:rsidR="00C15009">
        <w:rPr>
          <w:rFonts w:ascii="Times New Roman" w:hAnsi="Times New Roman" w:cs="Times New Roman"/>
          <w:sz w:val="24"/>
          <w:szCs w:val="24"/>
        </w:rPr>
        <w:t xml:space="preserve">  </w:t>
      </w:r>
      <w:r w:rsidR="00C15009" w:rsidRPr="00774E2E">
        <w:rPr>
          <w:rFonts w:ascii="Times New Roman" w:hAnsi="Times New Roman" w:cs="Times New Roman"/>
          <w:sz w:val="24"/>
          <w:szCs w:val="24"/>
        </w:rPr>
        <w:t xml:space="preserve">We </w:t>
      </w:r>
      <w:r w:rsidR="00C15009">
        <w:rPr>
          <w:rFonts w:ascii="Times New Roman" w:hAnsi="Times New Roman" w:cs="Times New Roman"/>
          <w:sz w:val="24"/>
          <w:szCs w:val="24"/>
        </w:rPr>
        <w:t xml:space="preserve">also agree that monitoring guidance </w:t>
      </w:r>
      <w:r w:rsidR="00C15009" w:rsidRPr="00774E2E">
        <w:rPr>
          <w:rFonts w:ascii="Times New Roman" w:hAnsi="Times New Roman" w:cs="Times New Roman"/>
          <w:sz w:val="24"/>
          <w:szCs w:val="24"/>
        </w:rPr>
        <w:t xml:space="preserve">is needed on the appropriate frequency of monitoring, considering </w:t>
      </w:r>
      <w:r w:rsidR="00C15009">
        <w:rPr>
          <w:rFonts w:ascii="Times New Roman" w:hAnsi="Times New Roman" w:cs="Times New Roman"/>
          <w:sz w:val="24"/>
          <w:szCs w:val="24"/>
        </w:rPr>
        <w:t>t</w:t>
      </w:r>
      <w:r w:rsidR="00C15009" w:rsidRPr="00774E2E">
        <w:rPr>
          <w:rFonts w:ascii="Times New Roman" w:hAnsi="Times New Roman" w:cs="Times New Roman"/>
          <w:sz w:val="24"/>
          <w:szCs w:val="24"/>
        </w:rPr>
        <w:t xml:space="preserve">he dynamic nature of </w:t>
      </w:r>
      <w:r w:rsidR="000D0F20">
        <w:rPr>
          <w:rFonts w:ascii="Times New Roman" w:hAnsi="Times New Roman" w:cs="Times New Roman"/>
          <w:sz w:val="24"/>
          <w:szCs w:val="24"/>
        </w:rPr>
        <w:t>algal</w:t>
      </w:r>
      <w:r w:rsidR="00C15009" w:rsidRPr="00774E2E">
        <w:rPr>
          <w:rFonts w:ascii="Times New Roman" w:hAnsi="Times New Roman" w:cs="Times New Roman"/>
          <w:sz w:val="24"/>
          <w:szCs w:val="24"/>
        </w:rPr>
        <w:t xml:space="preserve"> blooms.    </w:t>
      </w:r>
    </w:p>
    <w:p w14:paraId="61D5EE1C" w14:textId="77777777" w:rsidR="00622857" w:rsidRPr="00774E2E" w:rsidRDefault="00622857" w:rsidP="00BA34A2">
      <w:pPr>
        <w:spacing w:after="0" w:line="240" w:lineRule="auto"/>
        <w:rPr>
          <w:rFonts w:ascii="Times New Roman" w:hAnsi="Times New Roman" w:cs="Times New Roman"/>
          <w:sz w:val="24"/>
          <w:szCs w:val="24"/>
        </w:rPr>
      </w:pPr>
    </w:p>
    <w:p w14:paraId="671C8694" w14:textId="61D87F63" w:rsidR="00DF38C2" w:rsidRPr="00774E2E" w:rsidRDefault="00622857" w:rsidP="00DF38C2">
      <w:pPr>
        <w:spacing w:after="0" w:line="240" w:lineRule="auto"/>
        <w:rPr>
          <w:rFonts w:ascii="Times New Roman" w:hAnsi="Times New Roman" w:cs="Times New Roman"/>
          <w:sz w:val="24"/>
        </w:rPr>
      </w:pPr>
      <w:r w:rsidRPr="00774E2E">
        <w:rPr>
          <w:rFonts w:ascii="Times New Roman" w:hAnsi="Times New Roman" w:cs="Times New Roman"/>
          <w:b/>
          <w:sz w:val="24"/>
          <w:szCs w:val="24"/>
        </w:rPr>
        <w:t>Guidance Regard</w:t>
      </w:r>
      <w:r w:rsidR="00DF38C2" w:rsidRPr="00774E2E">
        <w:rPr>
          <w:rFonts w:ascii="Times New Roman" w:hAnsi="Times New Roman" w:cs="Times New Roman"/>
          <w:b/>
          <w:sz w:val="24"/>
          <w:szCs w:val="24"/>
        </w:rPr>
        <w:t xml:space="preserve">ing Feasible Analytical Methods:  </w:t>
      </w:r>
      <w:r w:rsidR="00DF38C2" w:rsidRPr="00774E2E">
        <w:rPr>
          <w:rFonts w:ascii="Times New Roman" w:hAnsi="Times New Roman" w:cs="Times New Roman"/>
          <w:sz w:val="24"/>
        </w:rPr>
        <w:t xml:space="preserve">We </w:t>
      </w:r>
      <w:r w:rsidR="00D03C73" w:rsidRPr="00774E2E">
        <w:rPr>
          <w:rFonts w:ascii="Times New Roman" w:hAnsi="Times New Roman" w:cs="Times New Roman"/>
          <w:sz w:val="24"/>
        </w:rPr>
        <w:t>certainly agree with the bill’s emphasis on analytical methods</w:t>
      </w:r>
      <w:r w:rsidR="00774E2E">
        <w:rPr>
          <w:rFonts w:ascii="Times New Roman" w:hAnsi="Times New Roman" w:cs="Times New Roman"/>
          <w:sz w:val="24"/>
        </w:rPr>
        <w:t xml:space="preserve">.  </w:t>
      </w:r>
      <w:r w:rsidR="00774E2E" w:rsidRPr="00774E2E">
        <w:rPr>
          <w:rFonts w:ascii="Times New Roman" w:eastAsia="Calibri" w:hAnsi="Times New Roman" w:cs="Times New Roman"/>
          <w:sz w:val="24"/>
        </w:rPr>
        <w:t xml:space="preserve">There are currently several analytical methods for measuring the concentration of algal toxins in drinking water.  Each has </w:t>
      </w:r>
      <w:r w:rsidR="000D0F20">
        <w:rPr>
          <w:rFonts w:ascii="Times New Roman" w:eastAsia="Calibri" w:hAnsi="Times New Roman" w:cs="Times New Roman"/>
          <w:sz w:val="24"/>
        </w:rPr>
        <w:t>its</w:t>
      </w:r>
      <w:r w:rsidR="00774E2E" w:rsidRPr="00774E2E">
        <w:rPr>
          <w:rFonts w:ascii="Times New Roman" w:eastAsia="Calibri" w:hAnsi="Times New Roman" w:cs="Times New Roman"/>
          <w:sz w:val="24"/>
        </w:rPr>
        <w:t xml:space="preserve"> advantages and disadvantages in terms of cost, precision, accuracy, and </w:t>
      </w:r>
      <w:r w:rsidR="00775621">
        <w:rPr>
          <w:rFonts w:ascii="Times New Roman" w:eastAsia="Calibri" w:hAnsi="Times New Roman" w:cs="Times New Roman"/>
          <w:sz w:val="24"/>
        </w:rPr>
        <w:t>selectivity</w:t>
      </w:r>
      <w:r w:rsidR="00774E2E" w:rsidRPr="00774E2E">
        <w:rPr>
          <w:rFonts w:ascii="Times New Roman" w:eastAsia="Calibri" w:hAnsi="Times New Roman" w:cs="Times New Roman"/>
          <w:sz w:val="24"/>
        </w:rPr>
        <w:t xml:space="preserve">. </w:t>
      </w:r>
      <w:r w:rsidR="00D03C73" w:rsidRPr="00774E2E">
        <w:rPr>
          <w:rFonts w:ascii="Times New Roman" w:hAnsi="Times New Roman" w:cs="Times New Roman"/>
          <w:sz w:val="24"/>
        </w:rPr>
        <w:t xml:space="preserve"> </w:t>
      </w:r>
      <w:r w:rsidR="00774E2E">
        <w:rPr>
          <w:rFonts w:ascii="Times New Roman" w:hAnsi="Times New Roman" w:cs="Times New Roman"/>
          <w:sz w:val="24"/>
        </w:rPr>
        <w:t>We</w:t>
      </w:r>
      <w:r w:rsidR="00D03C73" w:rsidRPr="00774E2E">
        <w:rPr>
          <w:rFonts w:ascii="Times New Roman" w:hAnsi="Times New Roman" w:cs="Times New Roman"/>
          <w:sz w:val="24"/>
        </w:rPr>
        <w:t xml:space="preserve"> </w:t>
      </w:r>
      <w:r w:rsidR="00DF38C2" w:rsidRPr="00774E2E">
        <w:rPr>
          <w:rFonts w:ascii="Times New Roman" w:hAnsi="Times New Roman" w:cs="Times New Roman"/>
          <w:sz w:val="24"/>
        </w:rPr>
        <w:t xml:space="preserve">believe more work is needed to evaluate the capabilities and applicability of </w:t>
      </w:r>
      <w:r w:rsidR="00D03C73" w:rsidRPr="00774E2E">
        <w:rPr>
          <w:rFonts w:ascii="Times New Roman" w:hAnsi="Times New Roman" w:cs="Times New Roman"/>
          <w:sz w:val="24"/>
        </w:rPr>
        <w:t xml:space="preserve">all appropriate </w:t>
      </w:r>
      <w:r w:rsidR="00DF38C2" w:rsidRPr="00774E2E">
        <w:rPr>
          <w:rFonts w:ascii="Times New Roman" w:hAnsi="Times New Roman" w:cs="Times New Roman"/>
          <w:sz w:val="24"/>
        </w:rPr>
        <w:t>analytical methods</w:t>
      </w:r>
      <w:r w:rsidR="00D03C73" w:rsidRPr="00774E2E">
        <w:rPr>
          <w:rFonts w:ascii="Times New Roman" w:hAnsi="Times New Roman" w:cs="Times New Roman"/>
          <w:sz w:val="24"/>
        </w:rPr>
        <w:t xml:space="preserve"> </w:t>
      </w:r>
      <w:r w:rsidR="00774E2E">
        <w:rPr>
          <w:rFonts w:ascii="Times New Roman" w:hAnsi="Times New Roman" w:cs="Times New Roman"/>
          <w:sz w:val="24"/>
        </w:rPr>
        <w:t xml:space="preserve">and how they can be used in tandem with one another </w:t>
      </w:r>
      <w:r w:rsidR="00D03C73" w:rsidRPr="00774E2E">
        <w:rPr>
          <w:rFonts w:ascii="Times New Roman" w:hAnsi="Times New Roman" w:cs="Times New Roman"/>
          <w:sz w:val="24"/>
        </w:rPr>
        <w:t xml:space="preserve">– both the relatively inexpensive screening methods as well as the more definitive (but expensive) methods.  Multi-lab comparative studies are also needed in connection with these methods.  These </w:t>
      </w:r>
      <w:r w:rsidR="00C15009">
        <w:rPr>
          <w:rFonts w:ascii="Times New Roman" w:hAnsi="Times New Roman" w:cs="Times New Roman"/>
          <w:sz w:val="24"/>
        </w:rPr>
        <w:t xml:space="preserve">various </w:t>
      </w:r>
      <w:r w:rsidR="00D03C73" w:rsidRPr="00774E2E">
        <w:rPr>
          <w:rFonts w:ascii="Times New Roman" w:hAnsi="Times New Roman" w:cs="Times New Roman"/>
          <w:sz w:val="24"/>
        </w:rPr>
        <w:t xml:space="preserve">methods questions also “double-back” on the health assessment work mentioned earlier.  How health advisories are expressed – i.e., whether in terms of individual cyanotoxin species </w:t>
      </w:r>
      <w:r w:rsidR="00774E2E" w:rsidRPr="00774E2E">
        <w:rPr>
          <w:rFonts w:ascii="Times New Roman" w:hAnsi="Times New Roman" w:cs="Times New Roman"/>
          <w:sz w:val="24"/>
        </w:rPr>
        <w:t xml:space="preserve">(e.g., Microcystin LR) </w:t>
      </w:r>
      <w:r w:rsidR="00D03C73" w:rsidRPr="00774E2E">
        <w:rPr>
          <w:rFonts w:ascii="Times New Roman" w:hAnsi="Times New Roman" w:cs="Times New Roman"/>
          <w:sz w:val="24"/>
        </w:rPr>
        <w:t xml:space="preserve">or whether for a broader class of </w:t>
      </w:r>
      <w:r w:rsidR="00774E2E" w:rsidRPr="00774E2E">
        <w:rPr>
          <w:rFonts w:ascii="Times New Roman" w:hAnsi="Times New Roman" w:cs="Times New Roman"/>
          <w:sz w:val="24"/>
        </w:rPr>
        <w:t xml:space="preserve">toxins (e.g., all </w:t>
      </w:r>
      <w:proofErr w:type="spellStart"/>
      <w:r w:rsidR="00774E2E" w:rsidRPr="00774E2E">
        <w:rPr>
          <w:rFonts w:ascii="Times New Roman" w:hAnsi="Times New Roman" w:cs="Times New Roman"/>
          <w:sz w:val="24"/>
        </w:rPr>
        <w:t>cyanotoxins</w:t>
      </w:r>
      <w:proofErr w:type="spellEnd"/>
      <w:r w:rsidR="00774E2E" w:rsidRPr="00774E2E">
        <w:rPr>
          <w:rFonts w:ascii="Times New Roman" w:hAnsi="Times New Roman" w:cs="Times New Roman"/>
          <w:sz w:val="24"/>
        </w:rPr>
        <w:t xml:space="preserve">) will drive the needed </w:t>
      </w:r>
      <w:r w:rsidR="00C15009">
        <w:rPr>
          <w:rFonts w:ascii="Times New Roman" w:hAnsi="Times New Roman" w:cs="Times New Roman"/>
          <w:sz w:val="24"/>
        </w:rPr>
        <w:t xml:space="preserve">analytical </w:t>
      </w:r>
      <w:r w:rsidR="00774E2E" w:rsidRPr="00774E2E">
        <w:rPr>
          <w:rFonts w:ascii="Times New Roman" w:hAnsi="Times New Roman" w:cs="Times New Roman"/>
          <w:sz w:val="24"/>
        </w:rPr>
        <w:t xml:space="preserve">methods. </w:t>
      </w:r>
    </w:p>
    <w:p w14:paraId="4C63D6DF" w14:textId="77777777" w:rsidR="00C15009" w:rsidRDefault="00C15009" w:rsidP="00BA34A2">
      <w:pPr>
        <w:spacing w:after="0" w:line="240" w:lineRule="auto"/>
        <w:rPr>
          <w:rFonts w:ascii="Times New Roman" w:hAnsi="Times New Roman" w:cs="Times New Roman"/>
          <w:b/>
          <w:sz w:val="24"/>
          <w:szCs w:val="24"/>
        </w:rPr>
      </w:pPr>
    </w:p>
    <w:p w14:paraId="2D371390" w14:textId="6B26C881" w:rsidR="00DF38C2" w:rsidRPr="004760EF" w:rsidRDefault="00622857" w:rsidP="00BA34A2">
      <w:pPr>
        <w:spacing w:after="0" w:line="240" w:lineRule="auto"/>
        <w:rPr>
          <w:rFonts w:ascii="Times New Roman" w:hAnsi="Times New Roman" w:cs="Times New Roman"/>
          <w:sz w:val="24"/>
          <w:szCs w:val="24"/>
        </w:rPr>
      </w:pPr>
      <w:r w:rsidRPr="004760EF">
        <w:rPr>
          <w:rFonts w:ascii="Times New Roman" w:hAnsi="Times New Roman" w:cs="Times New Roman"/>
          <w:b/>
          <w:sz w:val="24"/>
          <w:szCs w:val="24"/>
        </w:rPr>
        <w:t>Feasible Treatment Options to Mitigate Adverse Health Effects</w:t>
      </w:r>
      <w:r w:rsidR="00113CE5" w:rsidRPr="004760EF">
        <w:rPr>
          <w:rFonts w:ascii="Times New Roman" w:hAnsi="Times New Roman" w:cs="Times New Roman"/>
          <w:b/>
          <w:sz w:val="24"/>
          <w:szCs w:val="24"/>
        </w:rPr>
        <w:t>:</w:t>
      </w:r>
      <w:r w:rsidR="00113CE5" w:rsidRPr="004760EF">
        <w:rPr>
          <w:rFonts w:ascii="Times New Roman" w:hAnsi="Times New Roman" w:cs="Times New Roman"/>
          <w:sz w:val="24"/>
          <w:szCs w:val="24"/>
        </w:rPr>
        <w:t xml:space="preserve">  We’re fortunate in that algal toxins are </w:t>
      </w:r>
      <w:r w:rsidR="00CE3316">
        <w:rPr>
          <w:rFonts w:ascii="Times New Roman" w:hAnsi="Times New Roman" w:cs="Times New Roman"/>
          <w:sz w:val="24"/>
          <w:szCs w:val="24"/>
        </w:rPr>
        <w:t>generally</w:t>
      </w:r>
      <w:r w:rsidR="00CE3316" w:rsidRPr="004760EF">
        <w:rPr>
          <w:rFonts w:ascii="Times New Roman" w:hAnsi="Times New Roman" w:cs="Times New Roman"/>
          <w:sz w:val="24"/>
          <w:szCs w:val="24"/>
        </w:rPr>
        <w:t xml:space="preserve"> </w:t>
      </w:r>
      <w:r w:rsidR="00113CE5" w:rsidRPr="004760EF">
        <w:rPr>
          <w:rFonts w:ascii="Times New Roman" w:hAnsi="Times New Roman" w:cs="Times New Roman"/>
          <w:sz w:val="24"/>
          <w:szCs w:val="24"/>
        </w:rPr>
        <w:t xml:space="preserve">amenable to treatment </w:t>
      </w:r>
      <w:r w:rsidR="00C15009">
        <w:rPr>
          <w:rFonts w:ascii="Times New Roman" w:hAnsi="Times New Roman" w:cs="Times New Roman"/>
          <w:sz w:val="24"/>
          <w:szCs w:val="24"/>
        </w:rPr>
        <w:t>at a public water system</w:t>
      </w:r>
      <w:r w:rsidR="00113CE5" w:rsidRPr="004760EF">
        <w:rPr>
          <w:rFonts w:ascii="Times New Roman" w:hAnsi="Times New Roman" w:cs="Times New Roman"/>
          <w:sz w:val="24"/>
          <w:szCs w:val="24"/>
        </w:rPr>
        <w:t xml:space="preserve">.  </w:t>
      </w:r>
      <w:r w:rsidR="004760EF" w:rsidRPr="004760EF">
        <w:rPr>
          <w:rFonts w:ascii="Times New Roman" w:hAnsi="Times New Roman" w:cs="Times New Roman"/>
          <w:sz w:val="24"/>
          <w:szCs w:val="24"/>
        </w:rPr>
        <w:t xml:space="preserve">But, it’s in no way a straightforward problem and guidance of the type contemplated in the bill is much needed.  One needs to know, for instance, if the algal toxins of concern in the source waters of a public water system are within an intact algal cell (in which case the cells can be physically removed) or whether the cell has been </w:t>
      </w:r>
      <w:r w:rsidR="00C15009">
        <w:rPr>
          <w:rFonts w:ascii="Times New Roman" w:hAnsi="Times New Roman" w:cs="Times New Roman"/>
          <w:sz w:val="24"/>
          <w:szCs w:val="24"/>
        </w:rPr>
        <w:t>“</w:t>
      </w:r>
      <w:r w:rsidR="004760EF" w:rsidRPr="004760EF">
        <w:rPr>
          <w:rFonts w:ascii="Times New Roman" w:hAnsi="Times New Roman" w:cs="Times New Roman"/>
          <w:sz w:val="24"/>
          <w:szCs w:val="24"/>
        </w:rPr>
        <w:t>lysed</w:t>
      </w:r>
      <w:r w:rsidR="00C15009">
        <w:rPr>
          <w:rFonts w:ascii="Times New Roman" w:hAnsi="Times New Roman" w:cs="Times New Roman"/>
          <w:sz w:val="24"/>
          <w:szCs w:val="24"/>
        </w:rPr>
        <w:t>”</w:t>
      </w:r>
      <w:r w:rsidR="004760EF" w:rsidRPr="004760EF">
        <w:rPr>
          <w:rFonts w:ascii="Times New Roman" w:hAnsi="Times New Roman" w:cs="Times New Roman"/>
          <w:sz w:val="24"/>
          <w:szCs w:val="24"/>
        </w:rPr>
        <w:t xml:space="preserve"> or fractured, thereby releasing the toxin directly into the </w:t>
      </w:r>
      <w:r w:rsidR="000D0F20">
        <w:rPr>
          <w:rFonts w:ascii="Times New Roman" w:hAnsi="Times New Roman" w:cs="Times New Roman"/>
          <w:sz w:val="24"/>
          <w:szCs w:val="24"/>
        </w:rPr>
        <w:t xml:space="preserve">    </w:t>
      </w:r>
      <w:r w:rsidR="004760EF" w:rsidRPr="004760EF">
        <w:rPr>
          <w:rFonts w:ascii="Times New Roman" w:hAnsi="Times New Roman" w:cs="Times New Roman"/>
          <w:sz w:val="24"/>
          <w:szCs w:val="24"/>
        </w:rPr>
        <w:t xml:space="preserve">water </w:t>
      </w:r>
      <w:r w:rsidR="000D0F20">
        <w:rPr>
          <w:rFonts w:ascii="Times New Roman" w:hAnsi="Times New Roman" w:cs="Times New Roman"/>
          <w:sz w:val="24"/>
          <w:szCs w:val="24"/>
        </w:rPr>
        <w:t xml:space="preserve">-- </w:t>
      </w:r>
      <w:r w:rsidR="004760EF" w:rsidRPr="004760EF">
        <w:rPr>
          <w:rFonts w:ascii="Times New Roman" w:hAnsi="Times New Roman" w:cs="Times New Roman"/>
          <w:sz w:val="24"/>
          <w:szCs w:val="24"/>
        </w:rPr>
        <w:t xml:space="preserve">with associated treatment implications.  Treatment challenges must also be tied closely </w:t>
      </w:r>
      <w:r w:rsidR="004760EF" w:rsidRPr="004760EF">
        <w:rPr>
          <w:rFonts w:ascii="Times New Roman" w:hAnsi="Times New Roman" w:cs="Times New Roman"/>
          <w:sz w:val="24"/>
          <w:szCs w:val="24"/>
        </w:rPr>
        <w:lastRenderedPageBreak/>
        <w:t xml:space="preserve">to the aforementioned health advisories and analytical methods </w:t>
      </w:r>
      <w:r w:rsidR="00C15009">
        <w:rPr>
          <w:rFonts w:ascii="Times New Roman" w:hAnsi="Times New Roman" w:cs="Times New Roman"/>
          <w:sz w:val="24"/>
          <w:szCs w:val="24"/>
        </w:rPr>
        <w:t xml:space="preserve">-- </w:t>
      </w:r>
      <w:r w:rsidR="004760EF" w:rsidRPr="004760EF">
        <w:rPr>
          <w:rFonts w:ascii="Times New Roman" w:hAnsi="Times New Roman" w:cs="Times New Roman"/>
          <w:sz w:val="24"/>
          <w:szCs w:val="24"/>
        </w:rPr>
        <w:t>so that water utilities can know if the treatment has been effective and the water is safe to drink.</w:t>
      </w:r>
    </w:p>
    <w:p w14:paraId="34F63A07" w14:textId="77777777" w:rsidR="00DF38C2" w:rsidRPr="00844FC9" w:rsidRDefault="00DF38C2" w:rsidP="00BA34A2">
      <w:pPr>
        <w:spacing w:after="0" w:line="240" w:lineRule="auto"/>
        <w:rPr>
          <w:rFonts w:ascii="Times New Roman" w:hAnsi="Times New Roman" w:cs="Times New Roman"/>
          <w:color w:val="7030A0"/>
          <w:sz w:val="24"/>
          <w:szCs w:val="24"/>
        </w:rPr>
      </w:pPr>
    </w:p>
    <w:p w14:paraId="651CF9A7" w14:textId="77777777" w:rsidR="00DF38C2" w:rsidRPr="00D527F6" w:rsidRDefault="00DF38C2" w:rsidP="00BA34A2">
      <w:pPr>
        <w:spacing w:after="0" w:line="240" w:lineRule="auto"/>
        <w:rPr>
          <w:rFonts w:ascii="Times New Roman" w:hAnsi="Times New Roman" w:cs="Times New Roman"/>
          <w:sz w:val="24"/>
          <w:szCs w:val="24"/>
        </w:rPr>
      </w:pPr>
      <w:r w:rsidRPr="00D527F6">
        <w:rPr>
          <w:rFonts w:ascii="Times New Roman" w:hAnsi="Times New Roman" w:cs="Times New Roman"/>
          <w:b/>
          <w:sz w:val="24"/>
          <w:szCs w:val="24"/>
        </w:rPr>
        <w:t>Cooperative Agreements with and Technical Assistance to Affe</w:t>
      </w:r>
      <w:r w:rsidR="009F530B" w:rsidRPr="00D527F6">
        <w:rPr>
          <w:rFonts w:ascii="Times New Roman" w:hAnsi="Times New Roman" w:cs="Times New Roman"/>
          <w:b/>
          <w:sz w:val="24"/>
          <w:szCs w:val="24"/>
        </w:rPr>
        <w:t>cted States and Water Systems:</w:t>
      </w:r>
      <w:r w:rsidR="009F530B" w:rsidRPr="00D527F6">
        <w:rPr>
          <w:rFonts w:ascii="Times New Roman" w:hAnsi="Times New Roman" w:cs="Times New Roman"/>
          <w:sz w:val="24"/>
          <w:szCs w:val="24"/>
        </w:rPr>
        <w:t xml:space="preserve">  We very much appreciate the draft bill’s emphasis on EPA entering into agreements with and offering assistance to affected states and water systems.  Ongoing technical assistance and resources are needed to effectively tackle this very challenging, multi-faceted problem.  </w:t>
      </w:r>
      <w:r w:rsidR="00C15009">
        <w:rPr>
          <w:rFonts w:ascii="Times New Roman" w:hAnsi="Times New Roman" w:cs="Times New Roman"/>
          <w:sz w:val="24"/>
          <w:szCs w:val="24"/>
        </w:rPr>
        <w:t xml:space="preserve">We </w:t>
      </w:r>
      <w:r w:rsidR="009F530B" w:rsidRPr="00D527F6">
        <w:rPr>
          <w:rFonts w:ascii="Times New Roman" w:hAnsi="Times New Roman" w:cs="Times New Roman"/>
          <w:sz w:val="24"/>
          <w:szCs w:val="24"/>
        </w:rPr>
        <w:t>would also respectfully point out that there’s an important role for Congress in this regard to adequately fund EPA (through their yearly appropriation), states (through the PWSS grant</w:t>
      </w:r>
      <w:r w:rsidR="00D527F6" w:rsidRPr="00D527F6">
        <w:rPr>
          <w:rFonts w:ascii="Times New Roman" w:hAnsi="Times New Roman" w:cs="Times New Roman"/>
          <w:sz w:val="24"/>
          <w:szCs w:val="24"/>
        </w:rPr>
        <w:t xml:space="preserve"> made to states within EPA’s appropriation) and to water utilities, through the Drinking Water State Revolving Loan Fund (DWSRF).   </w:t>
      </w:r>
      <w:r w:rsidR="009F530B" w:rsidRPr="00D527F6">
        <w:rPr>
          <w:rFonts w:ascii="Times New Roman" w:hAnsi="Times New Roman" w:cs="Times New Roman"/>
          <w:sz w:val="24"/>
          <w:szCs w:val="24"/>
        </w:rPr>
        <w:t xml:space="preserve"> </w:t>
      </w:r>
    </w:p>
    <w:p w14:paraId="23A27714" w14:textId="77777777" w:rsidR="00DF38C2" w:rsidRPr="00D527F6" w:rsidRDefault="00DF38C2" w:rsidP="00BA34A2">
      <w:pPr>
        <w:spacing w:after="0" w:line="240" w:lineRule="auto"/>
        <w:rPr>
          <w:rFonts w:ascii="Times New Roman" w:hAnsi="Times New Roman" w:cs="Times New Roman"/>
          <w:sz w:val="24"/>
          <w:szCs w:val="24"/>
        </w:rPr>
      </w:pPr>
    </w:p>
    <w:p w14:paraId="2ABEF3F6" w14:textId="499BEE87" w:rsidR="00622857" w:rsidRPr="00D527F6" w:rsidRDefault="00DF38C2" w:rsidP="00BA34A2">
      <w:pPr>
        <w:spacing w:after="0" w:line="240" w:lineRule="auto"/>
        <w:rPr>
          <w:rFonts w:ascii="Times New Roman" w:hAnsi="Times New Roman" w:cs="Times New Roman"/>
          <w:b/>
          <w:sz w:val="24"/>
          <w:szCs w:val="24"/>
        </w:rPr>
      </w:pPr>
      <w:r w:rsidRPr="00D527F6">
        <w:rPr>
          <w:rFonts w:ascii="Times New Roman" w:hAnsi="Times New Roman" w:cs="Times New Roman"/>
          <w:b/>
          <w:sz w:val="24"/>
          <w:szCs w:val="24"/>
        </w:rPr>
        <w:t>Coordination and Consultation with All Concerned Parties</w:t>
      </w:r>
      <w:r w:rsidR="00D527F6" w:rsidRPr="00D527F6">
        <w:rPr>
          <w:rFonts w:ascii="Times New Roman" w:hAnsi="Times New Roman" w:cs="Times New Roman"/>
          <w:b/>
          <w:sz w:val="24"/>
          <w:szCs w:val="24"/>
        </w:rPr>
        <w:t xml:space="preserve">:  </w:t>
      </w:r>
      <w:r w:rsidR="00D527F6" w:rsidRPr="00D527F6">
        <w:rPr>
          <w:rFonts w:ascii="Times New Roman" w:hAnsi="Times New Roman" w:cs="Times New Roman"/>
          <w:sz w:val="24"/>
          <w:szCs w:val="24"/>
        </w:rPr>
        <w:t>The bill very properly includes a requirement for consultation with other Federal agencies, states, operators of public water system</w:t>
      </w:r>
      <w:r w:rsidR="00C15009">
        <w:rPr>
          <w:rFonts w:ascii="Times New Roman" w:hAnsi="Times New Roman" w:cs="Times New Roman"/>
          <w:sz w:val="24"/>
          <w:szCs w:val="24"/>
        </w:rPr>
        <w:t>s</w:t>
      </w:r>
      <w:r w:rsidR="00D527F6" w:rsidRPr="00D527F6">
        <w:rPr>
          <w:rFonts w:ascii="Times New Roman" w:hAnsi="Times New Roman" w:cs="Times New Roman"/>
          <w:sz w:val="24"/>
          <w:szCs w:val="24"/>
        </w:rPr>
        <w:t>, multinational agencies, foreign governments, and research &amp; academic institutions.  My state’s experience with</w:t>
      </w:r>
      <w:r w:rsidR="00C15009">
        <w:rPr>
          <w:rFonts w:ascii="Times New Roman" w:hAnsi="Times New Roman" w:cs="Times New Roman"/>
          <w:sz w:val="24"/>
          <w:szCs w:val="24"/>
        </w:rPr>
        <w:t xml:space="preserve"> the</w:t>
      </w:r>
      <w:r w:rsidR="00D527F6" w:rsidRPr="00D527F6">
        <w:rPr>
          <w:rFonts w:ascii="Times New Roman" w:hAnsi="Times New Roman" w:cs="Times New Roman"/>
          <w:sz w:val="24"/>
          <w:szCs w:val="24"/>
        </w:rPr>
        <w:t xml:space="preserve"> Toledo</w:t>
      </w:r>
      <w:r w:rsidR="00C15009">
        <w:rPr>
          <w:rFonts w:ascii="Times New Roman" w:hAnsi="Times New Roman" w:cs="Times New Roman"/>
          <w:sz w:val="24"/>
          <w:szCs w:val="24"/>
        </w:rPr>
        <w:t xml:space="preserve"> water system</w:t>
      </w:r>
      <w:r w:rsidR="00D527F6" w:rsidRPr="00D527F6">
        <w:rPr>
          <w:rFonts w:ascii="Times New Roman" w:hAnsi="Times New Roman" w:cs="Times New Roman"/>
          <w:sz w:val="24"/>
          <w:szCs w:val="24"/>
        </w:rPr>
        <w:t xml:space="preserve"> this past summer showed that a team effort – comprised of Federal, state, and local experts as well as academic institutions – was needed to best address the challenges we faced.  During th</w:t>
      </w:r>
      <w:r w:rsidR="00C15009">
        <w:rPr>
          <w:rFonts w:ascii="Times New Roman" w:hAnsi="Times New Roman" w:cs="Times New Roman"/>
          <w:sz w:val="24"/>
          <w:szCs w:val="24"/>
        </w:rPr>
        <w:t>at</w:t>
      </w:r>
      <w:r w:rsidR="00D527F6" w:rsidRPr="00D527F6">
        <w:rPr>
          <w:rFonts w:ascii="Times New Roman" w:hAnsi="Times New Roman" w:cs="Times New Roman"/>
          <w:sz w:val="24"/>
          <w:szCs w:val="24"/>
        </w:rPr>
        <w:t xml:space="preserve"> event and afterwards, we have been </w:t>
      </w:r>
      <w:r w:rsidR="00D527F6">
        <w:rPr>
          <w:rFonts w:ascii="Times New Roman" w:hAnsi="Times New Roman" w:cs="Times New Roman"/>
          <w:sz w:val="24"/>
          <w:szCs w:val="24"/>
        </w:rPr>
        <w:t xml:space="preserve">much </w:t>
      </w:r>
      <w:r w:rsidR="00D527F6" w:rsidRPr="00D527F6">
        <w:rPr>
          <w:rFonts w:ascii="Times New Roman" w:hAnsi="Times New Roman" w:cs="Times New Roman"/>
          <w:sz w:val="24"/>
          <w:szCs w:val="24"/>
        </w:rPr>
        <w:t xml:space="preserve">impressed </w:t>
      </w:r>
      <w:r w:rsidR="00D527F6">
        <w:rPr>
          <w:rFonts w:ascii="Times New Roman" w:hAnsi="Times New Roman" w:cs="Times New Roman"/>
          <w:sz w:val="24"/>
          <w:szCs w:val="24"/>
        </w:rPr>
        <w:t xml:space="preserve">with </w:t>
      </w:r>
      <w:r w:rsidR="000D0F20">
        <w:rPr>
          <w:rFonts w:ascii="Times New Roman" w:hAnsi="Times New Roman" w:cs="Times New Roman"/>
          <w:sz w:val="24"/>
          <w:szCs w:val="24"/>
        </w:rPr>
        <w:t xml:space="preserve">and have </w:t>
      </w:r>
      <w:r w:rsidR="00CE3316">
        <w:rPr>
          <w:rFonts w:ascii="Times New Roman" w:hAnsi="Times New Roman" w:cs="Times New Roman"/>
          <w:sz w:val="24"/>
          <w:szCs w:val="24"/>
        </w:rPr>
        <w:t xml:space="preserve">turned to the </w:t>
      </w:r>
      <w:r w:rsidR="00D527F6">
        <w:rPr>
          <w:rFonts w:ascii="Times New Roman" w:hAnsi="Times New Roman" w:cs="Times New Roman"/>
          <w:sz w:val="24"/>
          <w:szCs w:val="24"/>
        </w:rPr>
        <w:t xml:space="preserve">capability of </w:t>
      </w:r>
      <w:r w:rsidR="00FB2A69">
        <w:rPr>
          <w:rFonts w:ascii="Times New Roman" w:hAnsi="Times New Roman" w:cs="Times New Roman"/>
          <w:sz w:val="24"/>
          <w:szCs w:val="24"/>
        </w:rPr>
        <w:t xml:space="preserve">various </w:t>
      </w:r>
      <w:r w:rsidR="00D527F6">
        <w:rPr>
          <w:rFonts w:ascii="Times New Roman" w:hAnsi="Times New Roman" w:cs="Times New Roman"/>
          <w:sz w:val="24"/>
          <w:szCs w:val="24"/>
        </w:rPr>
        <w:t xml:space="preserve">partners </w:t>
      </w:r>
      <w:r w:rsidR="00FB2A69">
        <w:rPr>
          <w:rFonts w:ascii="Times New Roman" w:hAnsi="Times New Roman" w:cs="Times New Roman"/>
          <w:sz w:val="24"/>
          <w:szCs w:val="24"/>
        </w:rPr>
        <w:t xml:space="preserve">organizations and we believe such collaborative efforts offer the best prospects for success along our path forward. </w:t>
      </w:r>
    </w:p>
    <w:p w14:paraId="7AA1F8F5" w14:textId="77777777" w:rsidR="001B695A" w:rsidRDefault="001B695A" w:rsidP="00BA34A2">
      <w:pPr>
        <w:spacing w:after="0" w:line="240" w:lineRule="auto"/>
        <w:rPr>
          <w:rFonts w:ascii="Times New Roman" w:hAnsi="Times New Roman" w:cs="Times New Roman"/>
          <w:b/>
          <w:color w:val="7030A0"/>
          <w:sz w:val="24"/>
          <w:szCs w:val="24"/>
        </w:rPr>
      </w:pPr>
    </w:p>
    <w:p w14:paraId="32D8D1FB" w14:textId="77777777" w:rsidR="001B695A" w:rsidRDefault="00FB2A69" w:rsidP="00BA34A2">
      <w:pPr>
        <w:spacing w:after="0" w:line="240" w:lineRule="auto"/>
        <w:rPr>
          <w:rFonts w:ascii="Times New Roman" w:hAnsi="Times New Roman" w:cs="Times New Roman"/>
          <w:b/>
          <w:sz w:val="24"/>
          <w:szCs w:val="24"/>
        </w:rPr>
      </w:pPr>
      <w:r>
        <w:rPr>
          <w:rFonts w:ascii="Times New Roman" w:hAnsi="Times New Roman" w:cs="Times New Roman"/>
          <w:b/>
          <w:sz w:val="24"/>
          <w:szCs w:val="24"/>
        </w:rPr>
        <w:t>ADDITIONAL COMMENTS/RECOMMENDATIONS</w:t>
      </w:r>
    </w:p>
    <w:p w14:paraId="42FC5124" w14:textId="77777777" w:rsidR="00FB2A69" w:rsidRDefault="00FB2A69" w:rsidP="00BA34A2">
      <w:pPr>
        <w:spacing w:after="0" w:line="240" w:lineRule="auto"/>
        <w:rPr>
          <w:rFonts w:ascii="Times New Roman" w:hAnsi="Times New Roman" w:cs="Times New Roman"/>
          <w:b/>
          <w:sz w:val="24"/>
          <w:szCs w:val="24"/>
        </w:rPr>
      </w:pPr>
    </w:p>
    <w:p w14:paraId="64C1AC71" w14:textId="563C9C99" w:rsidR="00EA7F93" w:rsidRPr="00EA7F93" w:rsidRDefault="00EA7F93" w:rsidP="00EA7F93">
      <w:pPr>
        <w:spacing w:after="0" w:line="240" w:lineRule="auto"/>
        <w:rPr>
          <w:rFonts w:ascii="Times New Roman" w:hAnsi="Times New Roman" w:cs="Times New Roman"/>
          <w:sz w:val="24"/>
          <w:szCs w:val="24"/>
        </w:rPr>
      </w:pPr>
      <w:r w:rsidRPr="00EA7F93">
        <w:rPr>
          <w:rFonts w:ascii="Times New Roman" w:hAnsi="Times New Roman" w:cs="Times New Roman"/>
          <w:b/>
          <w:sz w:val="24"/>
          <w:szCs w:val="24"/>
        </w:rPr>
        <w:t>Clarify “Other Purposes”:</w:t>
      </w:r>
      <w:r w:rsidRPr="00EA7F93">
        <w:rPr>
          <w:rFonts w:ascii="Times New Roman" w:hAnsi="Times New Roman" w:cs="Times New Roman"/>
          <w:sz w:val="24"/>
          <w:szCs w:val="24"/>
        </w:rPr>
        <w:t xml:space="preserve">  We understand and appreciate that this </w:t>
      </w:r>
      <w:r w:rsidR="002F7A79">
        <w:rPr>
          <w:rFonts w:ascii="Times New Roman" w:hAnsi="Times New Roman" w:cs="Times New Roman"/>
          <w:sz w:val="24"/>
          <w:szCs w:val="24"/>
        </w:rPr>
        <w:t xml:space="preserve">is </w:t>
      </w:r>
      <w:r w:rsidRPr="00EA7F93">
        <w:rPr>
          <w:rFonts w:ascii="Times New Roman" w:hAnsi="Times New Roman" w:cs="Times New Roman"/>
          <w:sz w:val="24"/>
          <w:szCs w:val="24"/>
        </w:rPr>
        <w:t xml:space="preserve">an amendment to the SWDA.  However, the </w:t>
      </w:r>
      <w:r>
        <w:rPr>
          <w:rFonts w:ascii="Times New Roman" w:hAnsi="Times New Roman" w:cs="Times New Roman"/>
          <w:sz w:val="24"/>
          <w:szCs w:val="24"/>
        </w:rPr>
        <w:t xml:space="preserve">bill’s </w:t>
      </w:r>
      <w:r w:rsidRPr="00EA7F93">
        <w:rPr>
          <w:rFonts w:ascii="Times New Roman" w:hAnsi="Times New Roman" w:cs="Times New Roman"/>
          <w:sz w:val="24"/>
          <w:szCs w:val="24"/>
        </w:rPr>
        <w:t xml:space="preserve">title notes “other purposes.”  Is this reference to drinking water used for other purposes or source waters used for other purposes?  If the latter, the human health concerns associated with </w:t>
      </w:r>
      <w:r w:rsidRPr="00EA7F93">
        <w:rPr>
          <w:rFonts w:ascii="Times New Roman" w:hAnsi="Times New Roman" w:cs="Times New Roman"/>
          <w:i/>
          <w:sz w:val="24"/>
          <w:szCs w:val="24"/>
        </w:rPr>
        <w:t xml:space="preserve">recreational </w:t>
      </w:r>
      <w:r w:rsidRPr="00EA7F93">
        <w:rPr>
          <w:rFonts w:ascii="Times New Roman" w:hAnsi="Times New Roman" w:cs="Times New Roman"/>
          <w:sz w:val="24"/>
          <w:szCs w:val="24"/>
        </w:rPr>
        <w:t>use of waters with blooms could be explicitly stated as one of the purposes.    </w:t>
      </w:r>
    </w:p>
    <w:p w14:paraId="75014722" w14:textId="77777777" w:rsidR="00EA7F93" w:rsidRDefault="00EA7F93" w:rsidP="00FB2A69">
      <w:pPr>
        <w:spacing w:after="0" w:line="240" w:lineRule="auto"/>
        <w:rPr>
          <w:rFonts w:ascii="Times New Roman" w:hAnsi="Times New Roman" w:cs="Times New Roman"/>
          <w:b/>
          <w:sz w:val="24"/>
          <w:szCs w:val="24"/>
        </w:rPr>
      </w:pPr>
    </w:p>
    <w:p w14:paraId="4D12EC9F" w14:textId="34C8EE7E" w:rsidR="00FB2A69" w:rsidRPr="00FB2A69" w:rsidRDefault="00FB2A69" w:rsidP="00FB2A69">
      <w:pPr>
        <w:spacing w:after="0" w:line="240" w:lineRule="auto"/>
        <w:rPr>
          <w:rFonts w:ascii="Times New Roman" w:hAnsi="Times New Roman" w:cs="Times New Roman"/>
          <w:sz w:val="24"/>
          <w:szCs w:val="24"/>
        </w:rPr>
      </w:pPr>
      <w:r w:rsidRPr="00FB2A69">
        <w:rPr>
          <w:rFonts w:ascii="Times New Roman" w:hAnsi="Times New Roman" w:cs="Times New Roman"/>
          <w:b/>
          <w:sz w:val="24"/>
          <w:szCs w:val="24"/>
        </w:rPr>
        <w:t xml:space="preserve">Managing </w:t>
      </w:r>
      <w:r w:rsidR="00C15009">
        <w:rPr>
          <w:rFonts w:ascii="Times New Roman" w:hAnsi="Times New Roman" w:cs="Times New Roman"/>
          <w:b/>
          <w:sz w:val="24"/>
          <w:szCs w:val="24"/>
        </w:rPr>
        <w:t>Algal Blooms</w:t>
      </w:r>
      <w:r w:rsidRPr="00FB2A69">
        <w:rPr>
          <w:rFonts w:ascii="Times New Roman" w:hAnsi="Times New Roman" w:cs="Times New Roman"/>
          <w:sz w:val="24"/>
          <w:szCs w:val="24"/>
        </w:rPr>
        <w:t xml:space="preserve">:  We believe the proposed bill could be improved by including a requirement </w:t>
      </w:r>
      <w:r w:rsidR="00EA7F93">
        <w:rPr>
          <w:rFonts w:ascii="Times New Roman" w:hAnsi="Times New Roman" w:cs="Times New Roman"/>
          <w:sz w:val="24"/>
          <w:szCs w:val="24"/>
        </w:rPr>
        <w:t xml:space="preserve">for developing guidance </w:t>
      </w:r>
      <w:r w:rsidRPr="00FB2A69">
        <w:rPr>
          <w:rFonts w:ascii="Times New Roman" w:hAnsi="Times New Roman" w:cs="Times New Roman"/>
          <w:sz w:val="24"/>
          <w:szCs w:val="24"/>
        </w:rPr>
        <w:t xml:space="preserve">on how to </w:t>
      </w:r>
      <w:r w:rsidRPr="00FB2A69">
        <w:rPr>
          <w:rFonts w:ascii="Times New Roman" w:hAnsi="Times New Roman" w:cs="Times New Roman"/>
          <w:i/>
          <w:sz w:val="24"/>
          <w:szCs w:val="24"/>
        </w:rPr>
        <w:t xml:space="preserve">manage </w:t>
      </w:r>
      <w:r w:rsidRPr="00FB2A69">
        <w:rPr>
          <w:rFonts w:ascii="Times New Roman" w:hAnsi="Times New Roman" w:cs="Times New Roman"/>
          <w:sz w:val="24"/>
          <w:szCs w:val="24"/>
        </w:rPr>
        <w:t>source waters known to have HABs</w:t>
      </w:r>
      <w:r w:rsidR="00C15009">
        <w:rPr>
          <w:rFonts w:ascii="Times New Roman" w:hAnsi="Times New Roman" w:cs="Times New Roman"/>
          <w:sz w:val="24"/>
          <w:szCs w:val="24"/>
        </w:rPr>
        <w:t xml:space="preserve"> (e.g., application of </w:t>
      </w:r>
      <w:r w:rsidR="00CE3316">
        <w:rPr>
          <w:rFonts w:ascii="Times New Roman" w:hAnsi="Times New Roman" w:cs="Times New Roman"/>
          <w:sz w:val="24"/>
          <w:szCs w:val="24"/>
        </w:rPr>
        <w:t>algaecides</w:t>
      </w:r>
      <w:r w:rsidR="00C15009">
        <w:rPr>
          <w:rFonts w:ascii="Times New Roman" w:hAnsi="Times New Roman" w:cs="Times New Roman"/>
          <w:sz w:val="24"/>
          <w:szCs w:val="24"/>
        </w:rPr>
        <w:t>)</w:t>
      </w:r>
      <w:r w:rsidRPr="00FB2A69">
        <w:rPr>
          <w:rFonts w:ascii="Times New Roman" w:hAnsi="Times New Roman" w:cs="Times New Roman"/>
          <w:sz w:val="24"/>
          <w:szCs w:val="24"/>
        </w:rPr>
        <w:t>.  Such management approaches may be an effective option for public water systems that have smaller sources of water (versus those using a Great Lake</w:t>
      </w:r>
      <w:r w:rsidR="00C15009">
        <w:rPr>
          <w:rFonts w:ascii="Times New Roman" w:hAnsi="Times New Roman" w:cs="Times New Roman"/>
          <w:sz w:val="24"/>
          <w:szCs w:val="24"/>
        </w:rPr>
        <w:t>, for instance</w:t>
      </w:r>
      <w:r w:rsidRPr="00FB2A69">
        <w:rPr>
          <w:rFonts w:ascii="Times New Roman" w:hAnsi="Times New Roman" w:cs="Times New Roman"/>
          <w:sz w:val="24"/>
          <w:szCs w:val="24"/>
        </w:rPr>
        <w:t xml:space="preserve">).  </w:t>
      </w:r>
    </w:p>
    <w:p w14:paraId="6A0C609B" w14:textId="77777777" w:rsidR="001B695A" w:rsidRPr="004E174B" w:rsidRDefault="001B695A" w:rsidP="00BA34A2">
      <w:pPr>
        <w:spacing w:after="0" w:line="240" w:lineRule="auto"/>
        <w:rPr>
          <w:rFonts w:ascii="Times New Roman" w:hAnsi="Times New Roman" w:cs="Times New Roman"/>
          <w:b/>
          <w:i/>
          <w:sz w:val="24"/>
        </w:rPr>
      </w:pPr>
    </w:p>
    <w:p w14:paraId="77E31A22" w14:textId="0F967148" w:rsidR="001B695A" w:rsidRPr="004E174B" w:rsidRDefault="00FB2A69" w:rsidP="001B695A">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Prevention of Algal Blooms:  </w:t>
      </w:r>
      <w:r w:rsidRPr="00FB2A69">
        <w:rPr>
          <w:rFonts w:ascii="Times New Roman" w:eastAsia="Calibri" w:hAnsi="Times New Roman" w:cs="Times New Roman"/>
          <w:sz w:val="24"/>
          <w:szCs w:val="24"/>
        </w:rPr>
        <w:t>T</w:t>
      </w:r>
      <w:r w:rsidR="000D0F20">
        <w:rPr>
          <w:rFonts w:ascii="Times New Roman" w:eastAsia="Calibri" w:hAnsi="Times New Roman" w:cs="Times New Roman"/>
          <w:sz w:val="24"/>
          <w:szCs w:val="24"/>
        </w:rPr>
        <w:t xml:space="preserve">he most reliable </w:t>
      </w:r>
      <w:r w:rsidR="004E174B" w:rsidRPr="004E174B">
        <w:rPr>
          <w:rFonts w:ascii="Times New Roman" w:eastAsia="Calibri" w:hAnsi="Times New Roman" w:cs="Times New Roman"/>
          <w:sz w:val="24"/>
          <w:szCs w:val="24"/>
        </w:rPr>
        <w:t xml:space="preserve">and, in the long run, </w:t>
      </w:r>
      <w:r w:rsidR="00CE3316">
        <w:rPr>
          <w:rFonts w:ascii="Times New Roman" w:eastAsia="Calibri" w:hAnsi="Times New Roman" w:cs="Times New Roman"/>
          <w:sz w:val="24"/>
          <w:szCs w:val="24"/>
        </w:rPr>
        <w:t xml:space="preserve">the most protective of public health </w:t>
      </w:r>
      <w:r w:rsidR="004E174B" w:rsidRPr="004E174B">
        <w:rPr>
          <w:rFonts w:ascii="Times New Roman" w:eastAsia="Calibri" w:hAnsi="Times New Roman" w:cs="Times New Roman"/>
          <w:sz w:val="24"/>
          <w:szCs w:val="24"/>
        </w:rPr>
        <w:t xml:space="preserve">approach to providing safe water at that tap is a </w:t>
      </w:r>
      <w:r w:rsidR="004E174B" w:rsidRPr="004E174B">
        <w:rPr>
          <w:rFonts w:ascii="Times New Roman" w:eastAsia="Calibri" w:hAnsi="Times New Roman" w:cs="Times New Roman"/>
          <w:i/>
          <w:sz w:val="24"/>
          <w:szCs w:val="24"/>
        </w:rPr>
        <w:t>multi-barrier approach</w:t>
      </w:r>
      <w:r w:rsidR="004E174B" w:rsidRPr="004E174B">
        <w:rPr>
          <w:rFonts w:ascii="Times New Roman" w:eastAsia="Calibri" w:hAnsi="Times New Roman" w:cs="Times New Roman"/>
          <w:sz w:val="24"/>
          <w:szCs w:val="24"/>
        </w:rPr>
        <w:t>, that starts with protecting sources of drinking water.  A reactive approach to HABs and algal toxins that does not include source protection and places most of the burden for removing harmful algal toxins on the water treatment facility is an expensive</w:t>
      </w:r>
      <w:r w:rsidR="00EA7F93">
        <w:rPr>
          <w:rFonts w:ascii="Times New Roman" w:eastAsia="Calibri" w:hAnsi="Times New Roman" w:cs="Times New Roman"/>
          <w:sz w:val="24"/>
          <w:szCs w:val="24"/>
        </w:rPr>
        <w:t xml:space="preserve"> </w:t>
      </w:r>
      <w:r w:rsidR="004E174B" w:rsidRPr="004E174B">
        <w:rPr>
          <w:rFonts w:ascii="Times New Roman" w:eastAsia="Calibri" w:hAnsi="Times New Roman" w:cs="Times New Roman"/>
          <w:sz w:val="24"/>
          <w:szCs w:val="24"/>
        </w:rPr>
        <w:t xml:space="preserve">and unpredictable way to proceed. While H.R. 212 and much of this hearing properly address mitigation and responses to proliferation of </w:t>
      </w:r>
      <w:proofErr w:type="spellStart"/>
      <w:r w:rsidR="004E174B" w:rsidRPr="004E174B">
        <w:rPr>
          <w:rFonts w:ascii="Times New Roman" w:eastAsia="Calibri" w:hAnsi="Times New Roman" w:cs="Times New Roman"/>
          <w:sz w:val="24"/>
          <w:szCs w:val="24"/>
        </w:rPr>
        <w:t>cynaotoxins</w:t>
      </w:r>
      <w:proofErr w:type="spellEnd"/>
      <w:r w:rsidR="004E174B" w:rsidRPr="004E174B">
        <w:rPr>
          <w:rFonts w:ascii="Times New Roman" w:eastAsia="Calibri" w:hAnsi="Times New Roman" w:cs="Times New Roman"/>
          <w:sz w:val="24"/>
          <w:szCs w:val="24"/>
        </w:rPr>
        <w:t xml:space="preserve">, we believe it’s extremely important they we collectively stay focused on the </w:t>
      </w:r>
      <w:r w:rsidR="004E174B" w:rsidRPr="00EA7F93">
        <w:rPr>
          <w:rFonts w:ascii="Times New Roman" w:eastAsia="Calibri" w:hAnsi="Times New Roman" w:cs="Times New Roman"/>
          <w:i/>
          <w:sz w:val="24"/>
          <w:szCs w:val="24"/>
        </w:rPr>
        <w:t>root causes</w:t>
      </w:r>
      <w:r w:rsidR="004E174B" w:rsidRPr="004E174B">
        <w:rPr>
          <w:rFonts w:ascii="Times New Roman" w:eastAsia="Calibri" w:hAnsi="Times New Roman" w:cs="Times New Roman"/>
          <w:sz w:val="24"/>
          <w:szCs w:val="24"/>
        </w:rPr>
        <w:t xml:space="preserve"> of </w:t>
      </w:r>
      <w:r w:rsidR="00EA7F93">
        <w:rPr>
          <w:rFonts w:ascii="Times New Roman" w:eastAsia="Calibri" w:hAnsi="Times New Roman" w:cs="Times New Roman"/>
          <w:sz w:val="24"/>
          <w:szCs w:val="24"/>
        </w:rPr>
        <w:t xml:space="preserve">algal blooms.  </w:t>
      </w:r>
      <w:r w:rsidR="004E174B" w:rsidRPr="004E174B">
        <w:rPr>
          <w:rFonts w:ascii="Times New Roman" w:eastAsia="Calibri" w:hAnsi="Times New Roman" w:cs="Times New Roman"/>
          <w:sz w:val="24"/>
          <w:szCs w:val="24"/>
        </w:rPr>
        <w:t xml:space="preserve">These </w:t>
      </w:r>
      <w:r w:rsidR="001B695A" w:rsidRPr="004E174B">
        <w:rPr>
          <w:rFonts w:ascii="Times New Roman" w:eastAsia="Calibri" w:hAnsi="Times New Roman" w:cs="Times New Roman"/>
          <w:sz w:val="24"/>
          <w:szCs w:val="24"/>
        </w:rPr>
        <w:t xml:space="preserve">problems are ultimately the result of point and nonpoint sources of nitrogen and phosphorous pollution, coupled with weather conditions that can exacerbate </w:t>
      </w:r>
      <w:r w:rsidR="004E174B" w:rsidRPr="004E174B">
        <w:rPr>
          <w:rFonts w:ascii="Times New Roman" w:eastAsia="Calibri" w:hAnsi="Times New Roman" w:cs="Times New Roman"/>
          <w:sz w:val="24"/>
          <w:szCs w:val="24"/>
        </w:rPr>
        <w:t xml:space="preserve">algal blooms and cause them </w:t>
      </w:r>
      <w:r w:rsidR="00EA7F93">
        <w:rPr>
          <w:rFonts w:ascii="Times New Roman" w:eastAsia="Calibri" w:hAnsi="Times New Roman" w:cs="Times New Roman"/>
          <w:sz w:val="24"/>
          <w:szCs w:val="24"/>
        </w:rPr>
        <w:t xml:space="preserve">to </w:t>
      </w:r>
      <w:r w:rsidR="001B695A" w:rsidRPr="004E174B">
        <w:rPr>
          <w:rFonts w:ascii="Times New Roman" w:eastAsia="Calibri" w:hAnsi="Times New Roman" w:cs="Times New Roman"/>
          <w:sz w:val="24"/>
          <w:szCs w:val="24"/>
        </w:rPr>
        <w:t>occur earlier and longer</w:t>
      </w:r>
      <w:r w:rsidR="001B695A" w:rsidRPr="004E174B">
        <w:rPr>
          <w:rFonts w:ascii="Times New Roman" w:eastAsia="Calibri" w:hAnsi="Times New Roman" w:cs="Times New Roman"/>
          <w:i/>
          <w:sz w:val="24"/>
          <w:szCs w:val="24"/>
        </w:rPr>
        <w:t xml:space="preserve">.  </w:t>
      </w:r>
      <w:r w:rsidRPr="00FB2A69">
        <w:rPr>
          <w:rFonts w:ascii="Times New Roman" w:eastAsia="Calibri" w:hAnsi="Times New Roman" w:cs="Times New Roman"/>
          <w:sz w:val="24"/>
          <w:szCs w:val="24"/>
        </w:rPr>
        <w:t>Data-driven</w:t>
      </w:r>
      <w:r>
        <w:rPr>
          <w:rFonts w:ascii="Times New Roman" w:eastAsia="Calibri" w:hAnsi="Times New Roman" w:cs="Times New Roman"/>
          <w:i/>
          <w:sz w:val="24"/>
          <w:szCs w:val="24"/>
        </w:rPr>
        <w:t xml:space="preserve"> </w:t>
      </w:r>
      <w:r w:rsidR="004E174B" w:rsidRPr="004E174B">
        <w:rPr>
          <w:rFonts w:ascii="Times New Roman" w:eastAsia="Calibri" w:hAnsi="Times New Roman" w:cs="Times New Roman"/>
          <w:sz w:val="24"/>
          <w:szCs w:val="24"/>
        </w:rPr>
        <w:t>and t</w:t>
      </w:r>
      <w:r w:rsidR="001B695A" w:rsidRPr="004E174B">
        <w:rPr>
          <w:rFonts w:ascii="Times New Roman" w:eastAsia="Calibri" w:hAnsi="Times New Roman" w:cs="Times New Roman"/>
          <w:sz w:val="24"/>
          <w:szCs w:val="24"/>
        </w:rPr>
        <w:t>argeted efforts to address all sources of nutrient pollution are needed</w:t>
      </w:r>
      <w:r w:rsidR="004E174B" w:rsidRPr="004E174B">
        <w:rPr>
          <w:rFonts w:ascii="Times New Roman" w:eastAsia="Calibri" w:hAnsi="Times New Roman" w:cs="Times New Roman"/>
          <w:sz w:val="24"/>
          <w:szCs w:val="24"/>
        </w:rPr>
        <w:t xml:space="preserve"> – including both voluntary measures and incentives </w:t>
      </w:r>
      <w:r w:rsidR="004E174B" w:rsidRPr="004E174B">
        <w:rPr>
          <w:rFonts w:ascii="Times New Roman" w:eastAsia="Calibri" w:hAnsi="Times New Roman" w:cs="Times New Roman"/>
          <w:sz w:val="24"/>
          <w:szCs w:val="24"/>
        </w:rPr>
        <w:lastRenderedPageBreak/>
        <w:t xml:space="preserve">(e.g., conservation practices on the farm) and mandatory steps (e.g., point source discharges </w:t>
      </w:r>
      <w:r w:rsidR="001B695A" w:rsidRPr="004E174B">
        <w:rPr>
          <w:rFonts w:ascii="Times New Roman" w:eastAsia="Calibri" w:hAnsi="Times New Roman" w:cs="Times New Roman"/>
          <w:sz w:val="24"/>
          <w:szCs w:val="24"/>
        </w:rPr>
        <w:t>from Publicly Owned Treatment Works (POTWs)</w:t>
      </w:r>
      <w:r w:rsidR="004E174B" w:rsidRPr="004E174B">
        <w:rPr>
          <w:rFonts w:ascii="Times New Roman" w:eastAsia="Calibri" w:hAnsi="Times New Roman" w:cs="Times New Roman"/>
          <w:sz w:val="24"/>
          <w:szCs w:val="24"/>
        </w:rPr>
        <w:t xml:space="preserve">.  </w:t>
      </w:r>
      <w:r w:rsidR="001B695A" w:rsidRPr="004E174B">
        <w:rPr>
          <w:rFonts w:ascii="Times New Roman" w:eastAsia="Calibri" w:hAnsi="Times New Roman" w:cs="Times New Roman"/>
          <w:sz w:val="24"/>
          <w:szCs w:val="24"/>
        </w:rPr>
        <w:t xml:space="preserve"> This multi-faceted pollution challenge requires a cooperative and collaborative pollution control approach designed to leverage a variet</w:t>
      </w:r>
      <w:r w:rsidR="00EA7F93">
        <w:rPr>
          <w:rFonts w:ascii="Times New Roman" w:eastAsia="Calibri" w:hAnsi="Times New Roman" w:cs="Times New Roman"/>
          <w:sz w:val="24"/>
          <w:szCs w:val="24"/>
        </w:rPr>
        <w:t xml:space="preserve">y of tools and authorities by an array </w:t>
      </w:r>
      <w:r w:rsidR="001B695A" w:rsidRPr="004E174B">
        <w:rPr>
          <w:rFonts w:ascii="Times New Roman" w:eastAsia="Calibri" w:hAnsi="Times New Roman" w:cs="Times New Roman"/>
          <w:sz w:val="24"/>
          <w:szCs w:val="24"/>
        </w:rPr>
        <w:t xml:space="preserve">of stakeholders.  </w:t>
      </w:r>
    </w:p>
    <w:p w14:paraId="5E6E85E8" w14:textId="77777777" w:rsidR="00EA7F93" w:rsidRPr="004E174B" w:rsidRDefault="00EA7F93" w:rsidP="00BA34A2">
      <w:pPr>
        <w:spacing w:after="0" w:line="240" w:lineRule="auto"/>
        <w:rPr>
          <w:rFonts w:ascii="Times New Roman" w:hAnsi="Times New Roman" w:cs="Times New Roman"/>
          <w:b/>
          <w:sz w:val="24"/>
        </w:rPr>
      </w:pPr>
    </w:p>
    <w:p w14:paraId="5114035A" w14:textId="77777777" w:rsidR="001B695A" w:rsidRPr="009717EC" w:rsidRDefault="001B695A" w:rsidP="00BA34A2">
      <w:pPr>
        <w:spacing w:after="0" w:line="240" w:lineRule="auto"/>
        <w:rPr>
          <w:rFonts w:ascii="Times New Roman" w:hAnsi="Times New Roman" w:cs="Times New Roman"/>
          <w:b/>
          <w:sz w:val="24"/>
        </w:rPr>
      </w:pPr>
      <w:r w:rsidRPr="009717EC">
        <w:rPr>
          <w:rFonts w:ascii="Times New Roman" w:hAnsi="Times New Roman" w:cs="Times New Roman"/>
          <w:b/>
          <w:sz w:val="24"/>
        </w:rPr>
        <w:t>CONCLUSION</w:t>
      </w:r>
      <w:r w:rsidR="00EA7F93">
        <w:rPr>
          <w:rFonts w:ascii="Times New Roman" w:hAnsi="Times New Roman" w:cs="Times New Roman"/>
          <w:b/>
          <w:sz w:val="24"/>
        </w:rPr>
        <w:t>S</w:t>
      </w:r>
    </w:p>
    <w:p w14:paraId="07D16705" w14:textId="77777777" w:rsidR="00CD775A" w:rsidRPr="00844FC9" w:rsidRDefault="00CD775A" w:rsidP="00BA34A2">
      <w:pPr>
        <w:spacing w:after="0" w:line="240" w:lineRule="auto"/>
        <w:rPr>
          <w:rFonts w:ascii="Times New Roman" w:eastAsia="Calibri" w:hAnsi="Times New Roman" w:cs="Times New Roman"/>
          <w:b/>
          <w:color w:val="7030A0"/>
          <w:sz w:val="24"/>
          <w:szCs w:val="24"/>
        </w:rPr>
      </w:pPr>
    </w:p>
    <w:p w14:paraId="0769DDB2" w14:textId="77777777" w:rsidR="00FB2A69" w:rsidRPr="009717EC" w:rsidRDefault="00FB2A69" w:rsidP="00BA34A2">
      <w:pPr>
        <w:numPr>
          <w:ilvl w:val="0"/>
          <w:numId w:val="2"/>
        </w:numPr>
        <w:spacing w:after="0" w:line="240" w:lineRule="auto"/>
        <w:ind w:left="360"/>
        <w:rPr>
          <w:rFonts w:ascii="Times New Roman" w:eastAsia="Times New Roman" w:hAnsi="Times New Roman" w:cs="Times New Roman"/>
          <w:sz w:val="24"/>
          <w:szCs w:val="24"/>
        </w:rPr>
      </w:pPr>
      <w:r w:rsidRPr="009717EC">
        <w:rPr>
          <w:rFonts w:ascii="Times New Roman" w:eastAsia="Times New Roman" w:hAnsi="Times New Roman" w:cs="Times New Roman"/>
          <w:sz w:val="24"/>
          <w:szCs w:val="24"/>
        </w:rPr>
        <w:t xml:space="preserve">State drinking water programs across the country take very seriously the quality of drinking water supplied by public water systems.  </w:t>
      </w:r>
    </w:p>
    <w:p w14:paraId="036AB5F5" w14:textId="1C7B08DA" w:rsidR="00FB2A69" w:rsidRPr="009717EC" w:rsidRDefault="00FB2A69" w:rsidP="00BA34A2">
      <w:pPr>
        <w:numPr>
          <w:ilvl w:val="0"/>
          <w:numId w:val="2"/>
        </w:numPr>
        <w:spacing w:after="0" w:line="240" w:lineRule="auto"/>
        <w:ind w:left="360"/>
        <w:rPr>
          <w:rFonts w:ascii="Times New Roman" w:eastAsia="Times New Roman" w:hAnsi="Times New Roman" w:cs="Times New Roman"/>
          <w:sz w:val="24"/>
          <w:szCs w:val="24"/>
        </w:rPr>
      </w:pPr>
      <w:r w:rsidRPr="009717EC">
        <w:rPr>
          <w:rFonts w:ascii="Times New Roman" w:eastAsia="Times New Roman" w:hAnsi="Times New Roman" w:cs="Times New Roman"/>
          <w:sz w:val="24"/>
          <w:szCs w:val="24"/>
        </w:rPr>
        <w:t xml:space="preserve">Ohio and many other states have taken many steps to proactively address the issues </w:t>
      </w:r>
      <w:r w:rsidR="002F7A79">
        <w:rPr>
          <w:rFonts w:ascii="Times New Roman" w:eastAsia="Times New Roman" w:hAnsi="Times New Roman" w:cs="Times New Roman"/>
          <w:sz w:val="24"/>
          <w:szCs w:val="24"/>
        </w:rPr>
        <w:t xml:space="preserve">associated with </w:t>
      </w:r>
      <w:proofErr w:type="spellStart"/>
      <w:r w:rsidRPr="009717EC">
        <w:rPr>
          <w:rFonts w:ascii="Times New Roman" w:eastAsia="Times New Roman" w:hAnsi="Times New Roman" w:cs="Times New Roman"/>
          <w:sz w:val="24"/>
          <w:szCs w:val="24"/>
        </w:rPr>
        <w:t>cyanotoxins</w:t>
      </w:r>
      <w:proofErr w:type="spellEnd"/>
      <w:r w:rsidRPr="009717EC">
        <w:rPr>
          <w:rFonts w:ascii="Times New Roman" w:eastAsia="Times New Roman" w:hAnsi="Times New Roman" w:cs="Times New Roman"/>
          <w:sz w:val="24"/>
          <w:szCs w:val="24"/>
        </w:rPr>
        <w:t xml:space="preserve"> in drinking water, but it’s a complex and multi-faceted challenge and much remains to be done.  </w:t>
      </w:r>
    </w:p>
    <w:p w14:paraId="2FD325A3" w14:textId="77777777" w:rsidR="009717EC" w:rsidRDefault="00FB2A69" w:rsidP="00BA34A2">
      <w:pPr>
        <w:numPr>
          <w:ilvl w:val="0"/>
          <w:numId w:val="2"/>
        </w:numPr>
        <w:spacing w:after="0" w:line="240" w:lineRule="auto"/>
        <w:ind w:left="360"/>
        <w:rPr>
          <w:rFonts w:ascii="Times New Roman" w:eastAsia="Times New Roman" w:hAnsi="Times New Roman" w:cs="Times New Roman"/>
          <w:sz w:val="24"/>
          <w:szCs w:val="24"/>
        </w:rPr>
      </w:pPr>
      <w:r w:rsidRPr="009717EC">
        <w:rPr>
          <w:rFonts w:ascii="Times New Roman" w:eastAsia="Times New Roman" w:hAnsi="Times New Roman" w:cs="Times New Roman"/>
          <w:sz w:val="24"/>
          <w:szCs w:val="24"/>
        </w:rPr>
        <w:t xml:space="preserve">We strongly believe that Federal, state, and local leaders need to work closely together </w:t>
      </w:r>
      <w:r w:rsidR="009717EC" w:rsidRPr="009717EC">
        <w:rPr>
          <w:rFonts w:ascii="Times New Roman" w:eastAsia="Times New Roman" w:hAnsi="Times New Roman" w:cs="Times New Roman"/>
          <w:sz w:val="24"/>
          <w:szCs w:val="24"/>
        </w:rPr>
        <w:t xml:space="preserve">in partnership to quickly advance the science and practice to detect and effectively treat </w:t>
      </w:r>
      <w:proofErr w:type="spellStart"/>
      <w:r w:rsidR="009717EC" w:rsidRPr="009717EC">
        <w:rPr>
          <w:rFonts w:ascii="Times New Roman" w:eastAsia="Times New Roman" w:hAnsi="Times New Roman" w:cs="Times New Roman"/>
          <w:sz w:val="24"/>
          <w:szCs w:val="24"/>
        </w:rPr>
        <w:t>cyanotoxins</w:t>
      </w:r>
      <w:proofErr w:type="spellEnd"/>
      <w:r w:rsidR="009717EC" w:rsidRPr="009717EC">
        <w:rPr>
          <w:rFonts w:ascii="Times New Roman" w:eastAsia="Times New Roman" w:hAnsi="Times New Roman" w:cs="Times New Roman"/>
          <w:sz w:val="24"/>
          <w:szCs w:val="24"/>
        </w:rPr>
        <w:t xml:space="preserve"> in drinking water and to target our efforts based on our collectively best understanding of the threats to human health posed by </w:t>
      </w:r>
      <w:proofErr w:type="spellStart"/>
      <w:r w:rsidR="009717EC" w:rsidRPr="009717EC">
        <w:rPr>
          <w:rFonts w:ascii="Times New Roman" w:eastAsia="Times New Roman" w:hAnsi="Times New Roman" w:cs="Times New Roman"/>
          <w:sz w:val="24"/>
          <w:szCs w:val="24"/>
        </w:rPr>
        <w:t>cyanotoxins</w:t>
      </w:r>
      <w:proofErr w:type="spellEnd"/>
      <w:r w:rsidR="009717EC" w:rsidRPr="009717EC">
        <w:rPr>
          <w:rFonts w:ascii="Times New Roman" w:eastAsia="Times New Roman" w:hAnsi="Times New Roman" w:cs="Times New Roman"/>
          <w:sz w:val="24"/>
          <w:szCs w:val="24"/>
        </w:rPr>
        <w:t xml:space="preserve">.  </w:t>
      </w:r>
    </w:p>
    <w:p w14:paraId="5257A971" w14:textId="77777777" w:rsidR="00EA7F93" w:rsidRPr="009717EC" w:rsidRDefault="000101A2" w:rsidP="00BA34A2">
      <w:pPr>
        <w:numPr>
          <w:ilvl w:val="0"/>
          <w:numId w:val="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We believe th</w:t>
      </w:r>
      <w:r w:rsidR="00EA7F93">
        <w:rPr>
          <w:rFonts w:ascii="Times New Roman" w:eastAsia="Times New Roman" w:hAnsi="Times New Roman" w:cs="Times New Roman"/>
          <w:sz w:val="24"/>
          <w:szCs w:val="24"/>
        </w:rPr>
        <w:t>e steps articulate</w:t>
      </w:r>
      <w:r>
        <w:rPr>
          <w:rFonts w:ascii="Times New Roman" w:eastAsia="Times New Roman" w:hAnsi="Times New Roman" w:cs="Times New Roman"/>
          <w:sz w:val="24"/>
          <w:szCs w:val="24"/>
        </w:rPr>
        <w:t xml:space="preserve">d </w:t>
      </w:r>
      <w:r w:rsidR="00EA7F93">
        <w:rPr>
          <w:rFonts w:ascii="Times New Roman" w:eastAsia="Times New Roman" w:hAnsi="Times New Roman" w:cs="Times New Roman"/>
          <w:sz w:val="24"/>
          <w:szCs w:val="24"/>
        </w:rPr>
        <w:t xml:space="preserve">in H.R. 212 </w:t>
      </w:r>
      <w:r>
        <w:rPr>
          <w:rFonts w:ascii="Times New Roman" w:eastAsia="Times New Roman" w:hAnsi="Times New Roman" w:cs="Times New Roman"/>
          <w:sz w:val="24"/>
          <w:szCs w:val="24"/>
        </w:rPr>
        <w:t xml:space="preserve">are an </w:t>
      </w:r>
      <w:r w:rsidR="00EA7F93">
        <w:rPr>
          <w:rFonts w:ascii="Times New Roman" w:eastAsia="Times New Roman" w:hAnsi="Times New Roman" w:cs="Times New Roman"/>
          <w:sz w:val="24"/>
          <w:szCs w:val="24"/>
        </w:rPr>
        <w:t xml:space="preserve">appropriate series of actions to be taking, at this stage. </w:t>
      </w:r>
    </w:p>
    <w:p w14:paraId="080C3BFB" w14:textId="77777777" w:rsidR="009717EC" w:rsidRPr="009717EC" w:rsidRDefault="009717EC" w:rsidP="00BA34A2">
      <w:pPr>
        <w:numPr>
          <w:ilvl w:val="0"/>
          <w:numId w:val="2"/>
        </w:numPr>
        <w:spacing w:after="0" w:line="240" w:lineRule="auto"/>
        <w:ind w:left="360"/>
        <w:rPr>
          <w:rFonts w:ascii="Times New Roman" w:eastAsia="Times New Roman" w:hAnsi="Times New Roman" w:cs="Times New Roman"/>
          <w:sz w:val="24"/>
          <w:szCs w:val="24"/>
        </w:rPr>
      </w:pPr>
      <w:r w:rsidRPr="009717EC">
        <w:rPr>
          <w:rFonts w:ascii="Times New Roman" w:eastAsia="Times New Roman" w:hAnsi="Times New Roman" w:cs="Times New Roman"/>
          <w:sz w:val="24"/>
          <w:szCs w:val="24"/>
        </w:rPr>
        <w:t xml:space="preserve">ASDWA and individual states stand ready to continue to lead in this effort and will gladly work with partners, at all levels, to tackle this tough and very important challenge. </w:t>
      </w:r>
    </w:p>
    <w:p w14:paraId="5865BD2F" w14:textId="77777777" w:rsidR="00CD775A" w:rsidRPr="009717EC" w:rsidRDefault="00CD775A" w:rsidP="00BA34A2">
      <w:pPr>
        <w:spacing w:after="0" w:line="240" w:lineRule="auto"/>
        <w:rPr>
          <w:rFonts w:ascii="Times New Roman" w:hAnsi="Times New Roman" w:cs="Times New Roman"/>
          <w:b/>
          <w:sz w:val="24"/>
          <w:szCs w:val="24"/>
        </w:rPr>
      </w:pPr>
    </w:p>
    <w:sectPr w:rsidR="00CD775A" w:rsidRPr="009717EC" w:rsidSect="00BA34A2">
      <w:head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5AAB37" w15:done="0"/>
  <w15:commentEx w15:paraId="4500C0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5442F" w14:textId="77777777" w:rsidR="00DF5E2C" w:rsidRDefault="00DF5E2C" w:rsidP="00BA34A2">
      <w:pPr>
        <w:spacing w:after="0" w:line="240" w:lineRule="auto"/>
      </w:pPr>
      <w:r>
        <w:separator/>
      </w:r>
    </w:p>
  </w:endnote>
  <w:endnote w:type="continuationSeparator" w:id="0">
    <w:p w14:paraId="26F19218" w14:textId="77777777" w:rsidR="00DF5E2C" w:rsidRDefault="00DF5E2C" w:rsidP="00BA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28516" w14:textId="77777777" w:rsidR="00DF5E2C" w:rsidRDefault="00DF5E2C" w:rsidP="00BA34A2">
      <w:pPr>
        <w:spacing w:after="0" w:line="240" w:lineRule="auto"/>
      </w:pPr>
      <w:r>
        <w:separator/>
      </w:r>
    </w:p>
  </w:footnote>
  <w:footnote w:type="continuationSeparator" w:id="0">
    <w:p w14:paraId="199F2F6B" w14:textId="77777777" w:rsidR="00DF5E2C" w:rsidRDefault="00DF5E2C" w:rsidP="00BA3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18287"/>
      <w:docPartObj>
        <w:docPartGallery w:val="Page Numbers (Top of Page)"/>
        <w:docPartUnique/>
      </w:docPartObj>
    </w:sdtPr>
    <w:sdtEndPr>
      <w:rPr>
        <w:noProof/>
      </w:rPr>
    </w:sdtEndPr>
    <w:sdtContent>
      <w:p w14:paraId="6F75849F" w14:textId="77777777" w:rsidR="00BA34A2" w:rsidRDefault="00BA34A2">
        <w:pPr>
          <w:pStyle w:val="Header"/>
          <w:jc w:val="center"/>
        </w:pPr>
        <w:r>
          <w:fldChar w:fldCharType="begin"/>
        </w:r>
        <w:r>
          <w:instrText xml:space="preserve"> PAGE   \* MERGEFORMAT </w:instrText>
        </w:r>
        <w:r>
          <w:fldChar w:fldCharType="separate"/>
        </w:r>
        <w:r w:rsidR="004C4A32">
          <w:rPr>
            <w:noProof/>
          </w:rPr>
          <w:t>2</w:t>
        </w:r>
        <w:r>
          <w:rPr>
            <w:noProof/>
          </w:rPr>
          <w:fldChar w:fldCharType="end"/>
        </w:r>
      </w:p>
    </w:sdtContent>
  </w:sdt>
  <w:p w14:paraId="0A6DBEE7" w14:textId="77777777" w:rsidR="00BA34A2" w:rsidRDefault="00BA3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0F2A"/>
    <w:multiLevelType w:val="hybridMultilevel"/>
    <w:tmpl w:val="F160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EA7651"/>
    <w:multiLevelType w:val="hybridMultilevel"/>
    <w:tmpl w:val="30DC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228A1"/>
    <w:multiLevelType w:val="hybridMultilevel"/>
    <w:tmpl w:val="B7BAE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5C5A85"/>
    <w:multiLevelType w:val="hybridMultilevel"/>
    <w:tmpl w:val="F3D846A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baker">
    <w15:presenceInfo w15:providerId="Windows Live" w15:userId="64b4494bd09ee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62"/>
    <w:rsid w:val="000101A2"/>
    <w:rsid w:val="000D0F20"/>
    <w:rsid w:val="00113CE5"/>
    <w:rsid w:val="00176850"/>
    <w:rsid w:val="001B695A"/>
    <w:rsid w:val="002058D5"/>
    <w:rsid w:val="00210FDB"/>
    <w:rsid w:val="002F7A79"/>
    <w:rsid w:val="003A514F"/>
    <w:rsid w:val="00431262"/>
    <w:rsid w:val="004760EF"/>
    <w:rsid w:val="004961DB"/>
    <w:rsid w:val="004A7CDF"/>
    <w:rsid w:val="004C4A32"/>
    <w:rsid w:val="004E08D2"/>
    <w:rsid w:val="004E174B"/>
    <w:rsid w:val="00503487"/>
    <w:rsid w:val="0060519B"/>
    <w:rsid w:val="00622857"/>
    <w:rsid w:val="006828B1"/>
    <w:rsid w:val="00774E2E"/>
    <w:rsid w:val="00775621"/>
    <w:rsid w:val="007B3162"/>
    <w:rsid w:val="00844FC9"/>
    <w:rsid w:val="008845C3"/>
    <w:rsid w:val="009717EC"/>
    <w:rsid w:val="0099172F"/>
    <w:rsid w:val="009F530B"/>
    <w:rsid w:val="00A03BCA"/>
    <w:rsid w:val="00B27195"/>
    <w:rsid w:val="00B6579D"/>
    <w:rsid w:val="00BA34A2"/>
    <w:rsid w:val="00BD5BA5"/>
    <w:rsid w:val="00C15009"/>
    <w:rsid w:val="00CA3FE1"/>
    <w:rsid w:val="00CC0160"/>
    <w:rsid w:val="00CD758F"/>
    <w:rsid w:val="00CD775A"/>
    <w:rsid w:val="00CE3316"/>
    <w:rsid w:val="00D03C73"/>
    <w:rsid w:val="00D250C6"/>
    <w:rsid w:val="00D527F6"/>
    <w:rsid w:val="00DF38C2"/>
    <w:rsid w:val="00DF5E2C"/>
    <w:rsid w:val="00E46148"/>
    <w:rsid w:val="00EA7F93"/>
    <w:rsid w:val="00F21E4A"/>
    <w:rsid w:val="00FB2A69"/>
    <w:rsid w:val="00FF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9B"/>
    <w:pPr>
      <w:ind w:left="720"/>
      <w:contextualSpacing/>
    </w:pPr>
  </w:style>
  <w:style w:type="paragraph" w:styleId="Header">
    <w:name w:val="header"/>
    <w:basedOn w:val="Normal"/>
    <w:link w:val="HeaderChar"/>
    <w:uiPriority w:val="99"/>
    <w:unhideWhenUsed/>
    <w:rsid w:val="00BA3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4A2"/>
  </w:style>
  <w:style w:type="paragraph" w:styleId="Footer">
    <w:name w:val="footer"/>
    <w:basedOn w:val="Normal"/>
    <w:link w:val="FooterChar"/>
    <w:uiPriority w:val="99"/>
    <w:unhideWhenUsed/>
    <w:rsid w:val="00BA3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4A2"/>
  </w:style>
  <w:style w:type="paragraph" w:styleId="BalloonText">
    <w:name w:val="Balloon Text"/>
    <w:basedOn w:val="Normal"/>
    <w:link w:val="BalloonTextChar"/>
    <w:uiPriority w:val="99"/>
    <w:semiHidden/>
    <w:unhideWhenUsed/>
    <w:rsid w:val="00CC0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160"/>
    <w:rPr>
      <w:rFonts w:ascii="Segoe UI" w:hAnsi="Segoe UI" w:cs="Segoe UI"/>
      <w:sz w:val="18"/>
      <w:szCs w:val="18"/>
    </w:rPr>
  </w:style>
  <w:style w:type="character" w:styleId="CommentReference">
    <w:name w:val="annotation reference"/>
    <w:basedOn w:val="DefaultParagraphFont"/>
    <w:uiPriority w:val="99"/>
    <w:semiHidden/>
    <w:unhideWhenUsed/>
    <w:rsid w:val="00CC0160"/>
    <w:rPr>
      <w:sz w:val="16"/>
      <w:szCs w:val="16"/>
    </w:rPr>
  </w:style>
  <w:style w:type="paragraph" w:styleId="CommentText">
    <w:name w:val="annotation text"/>
    <w:basedOn w:val="Normal"/>
    <w:link w:val="CommentTextChar"/>
    <w:uiPriority w:val="99"/>
    <w:semiHidden/>
    <w:unhideWhenUsed/>
    <w:rsid w:val="00CC0160"/>
    <w:pPr>
      <w:spacing w:line="240" w:lineRule="auto"/>
    </w:pPr>
    <w:rPr>
      <w:sz w:val="20"/>
      <w:szCs w:val="20"/>
    </w:rPr>
  </w:style>
  <w:style w:type="character" w:customStyle="1" w:styleId="CommentTextChar">
    <w:name w:val="Comment Text Char"/>
    <w:basedOn w:val="DefaultParagraphFont"/>
    <w:link w:val="CommentText"/>
    <w:uiPriority w:val="99"/>
    <w:semiHidden/>
    <w:rsid w:val="00CC0160"/>
    <w:rPr>
      <w:sz w:val="20"/>
      <w:szCs w:val="20"/>
    </w:rPr>
  </w:style>
  <w:style w:type="paragraph" w:styleId="CommentSubject">
    <w:name w:val="annotation subject"/>
    <w:basedOn w:val="CommentText"/>
    <w:next w:val="CommentText"/>
    <w:link w:val="CommentSubjectChar"/>
    <w:uiPriority w:val="99"/>
    <w:semiHidden/>
    <w:unhideWhenUsed/>
    <w:rsid w:val="00CC0160"/>
    <w:rPr>
      <w:b/>
      <w:bCs/>
    </w:rPr>
  </w:style>
  <w:style w:type="character" w:customStyle="1" w:styleId="CommentSubjectChar">
    <w:name w:val="Comment Subject Char"/>
    <w:basedOn w:val="CommentTextChar"/>
    <w:link w:val="CommentSubject"/>
    <w:uiPriority w:val="99"/>
    <w:semiHidden/>
    <w:rsid w:val="00CC01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9B"/>
    <w:pPr>
      <w:ind w:left="720"/>
      <w:contextualSpacing/>
    </w:pPr>
  </w:style>
  <w:style w:type="paragraph" w:styleId="Header">
    <w:name w:val="header"/>
    <w:basedOn w:val="Normal"/>
    <w:link w:val="HeaderChar"/>
    <w:uiPriority w:val="99"/>
    <w:unhideWhenUsed/>
    <w:rsid w:val="00BA3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4A2"/>
  </w:style>
  <w:style w:type="paragraph" w:styleId="Footer">
    <w:name w:val="footer"/>
    <w:basedOn w:val="Normal"/>
    <w:link w:val="FooterChar"/>
    <w:uiPriority w:val="99"/>
    <w:unhideWhenUsed/>
    <w:rsid w:val="00BA3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4A2"/>
  </w:style>
  <w:style w:type="paragraph" w:styleId="BalloonText">
    <w:name w:val="Balloon Text"/>
    <w:basedOn w:val="Normal"/>
    <w:link w:val="BalloonTextChar"/>
    <w:uiPriority w:val="99"/>
    <w:semiHidden/>
    <w:unhideWhenUsed/>
    <w:rsid w:val="00CC0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160"/>
    <w:rPr>
      <w:rFonts w:ascii="Segoe UI" w:hAnsi="Segoe UI" w:cs="Segoe UI"/>
      <w:sz w:val="18"/>
      <w:szCs w:val="18"/>
    </w:rPr>
  </w:style>
  <w:style w:type="character" w:styleId="CommentReference">
    <w:name w:val="annotation reference"/>
    <w:basedOn w:val="DefaultParagraphFont"/>
    <w:uiPriority w:val="99"/>
    <w:semiHidden/>
    <w:unhideWhenUsed/>
    <w:rsid w:val="00CC0160"/>
    <w:rPr>
      <w:sz w:val="16"/>
      <w:szCs w:val="16"/>
    </w:rPr>
  </w:style>
  <w:style w:type="paragraph" w:styleId="CommentText">
    <w:name w:val="annotation text"/>
    <w:basedOn w:val="Normal"/>
    <w:link w:val="CommentTextChar"/>
    <w:uiPriority w:val="99"/>
    <w:semiHidden/>
    <w:unhideWhenUsed/>
    <w:rsid w:val="00CC0160"/>
    <w:pPr>
      <w:spacing w:line="240" w:lineRule="auto"/>
    </w:pPr>
    <w:rPr>
      <w:sz w:val="20"/>
      <w:szCs w:val="20"/>
    </w:rPr>
  </w:style>
  <w:style w:type="character" w:customStyle="1" w:styleId="CommentTextChar">
    <w:name w:val="Comment Text Char"/>
    <w:basedOn w:val="DefaultParagraphFont"/>
    <w:link w:val="CommentText"/>
    <w:uiPriority w:val="99"/>
    <w:semiHidden/>
    <w:rsid w:val="00CC0160"/>
    <w:rPr>
      <w:sz w:val="20"/>
      <w:szCs w:val="20"/>
    </w:rPr>
  </w:style>
  <w:style w:type="paragraph" w:styleId="CommentSubject">
    <w:name w:val="annotation subject"/>
    <w:basedOn w:val="CommentText"/>
    <w:next w:val="CommentText"/>
    <w:link w:val="CommentSubjectChar"/>
    <w:uiPriority w:val="99"/>
    <w:semiHidden/>
    <w:unhideWhenUsed/>
    <w:rsid w:val="00CC0160"/>
    <w:rPr>
      <w:b/>
      <w:bCs/>
    </w:rPr>
  </w:style>
  <w:style w:type="character" w:customStyle="1" w:styleId="CommentSubjectChar">
    <w:name w:val="Comment Subject Char"/>
    <w:basedOn w:val="CommentTextChar"/>
    <w:link w:val="CommentSubject"/>
    <w:uiPriority w:val="99"/>
    <w:semiHidden/>
    <w:rsid w:val="00CC01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787">
      <w:bodyDiv w:val="1"/>
      <w:marLeft w:val="0"/>
      <w:marRight w:val="0"/>
      <w:marTop w:val="0"/>
      <w:marBottom w:val="0"/>
      <w:divBdr>
        <w:top w:val="none" w:sz="0" w:space="0" w:color="auto"/>
        <w:left w:val="none" w:sz="0" w:space="0" w:color="auto"/>
        <w:bottom w:val="none" w:sz="0" w:space="0" w:color="auto"/>
        <w:right w:val="none" w:sz="0" w:space="0" w:color="auto"/>
      </w:divBdr>
    </w:div>
    <w:div w:id="11033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5B3D-A350-45BB-B2E5-D284A97F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Taft</dc:creator>
  <cp:lastModifiedBy>Jim Taft</cp:lastModifiedBy>
  <cp:revision>2</cp:revision>
  <dcterms:created xsi:type="dcterms:W3CDTF">2015-02-06T16:45:00Z</dcterms:created>
  <dcterms:modified xsi:type="dcterms:W3CDTF">2015-02-06T16:45:00Z</dcterms:modified>
</cp:coreProperties>
</file>