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CellSpacing w:w="0" w:type="dxa"/>
        <w:tblCellMar>
          <w:left w:w="0" w:type="dxa"/>
          <w:right w:w="0" w:type="dxa"/>
        </w:tblCellMar>
        <w:tblLook w:val="04A0" w:firstRow="1" w:lastRow="0" w:firstColumn="1" w:lastColumn="0" w:noHBand="0" w:noVBand="1"/>
      </w:tblPr>
      <w:tblGrid>
        <w:gridCol w:w="9000"/>
      </w:tblGrid>
      <w:tr w:rsidR="00C56052" w:rsidTr="00C56052">
        <w:trPr>
          <w:tblCellSpacing w:w="0" w:type="dxa"/>
        </w:trPr>
        <w:tc>
          <w:tcPr>
            <w:tcW w:w="0" w:type="auto"/>
            <w:vAlign w:val="center"/>
            <w:hideMark/>
          </w:tcPr>
          <w:p w:rsidR="00C56052" w:rsidRDefault="00C56052">
            <w:bookmarkStart w:id="0" w:name="_MailOriginal"/>
            <w:r>
              <w:rPr>
                <w:noProof/>
              </w:rPr>
              <w:drawing>
                <wp:inline distT="0" distB="0" distL="0" distR="0" wp14:anchorId="0300EDE2" wp14:editId="55B29825">
                  <wp:extent cx="5715000" cy="1428750"/>
                  <wp:effectExtent l="0" t="0" r="0" b="0"/>
                  <wp:docPr id="11" name="Picture 11" descr="The WaterSense Cur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aterSense Curr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428750"/>
                          </a:xfrm>
                          <a:prstGeom prst="rect">
                            <a:avLst/>
                          </a:prstGeom>
                          <a:noFill/>
                          <a:ln>
                            <a:noFill/>
                          </a:ln>
                        </pic:spPr>
                      </pic:pic>
                    </a:graphicData>
                  </a:graphic>
                </wp:inline>
              </w:drawing>
            </w:r>
          </w:p>
        </w:tc>
      </w:tr>
      <w:tr w:rsidR="00C56052" w:rsidTr="00C56052">
        <w:trPr>
          <w:tblCellSpacing w:w="0" w:type="dxa"/>
        </w:trPr>
        <w:tc>
          <w:tcPr>
            <w:tcW w:w="0" w:type="auto"/>
            <w:hideMark/>
          </w:tcPr>
          <w:p w:rsidR="00C56052" w:rsidRDefault="00C56052">
            <w:r>
              <w:rPr>
                <w:noProof/>
              </w:rPr>
              <w:drawing>
                <wp:inline distT="0" distB="0" distL="0" distR="0" wp14:anchorId="3F83A141" wp14:editId="37CE14FA">
                  <wp:extent cx="5715000" cy="47625"/>
                  <wp:effectExtent l="0" t="0" r="0" b="9525"/>
                  <wp:docPr id="10" name="Picture 10" descr="http://www2.ergweb.com/listserv/Arlington/WaterSens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ergweb.com/listserv/Arlington/WaterSense/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7625"/>
                          </a:xfrm>
                          <a:prstGeom prst="rect">
                            <a:avLst/>
                          </a:prstGeom>
                          <a:noFill/>
                          <a:ln>
                            <a:noFill/>
                          </a:ln>
                        </pic:spPr>
                      </pic:pic>
                    </a:graphicData>
                  </a:graphic>
                </wp:inline>
              </w:drawing>
            </w:r>
          </w:p>
        </w:tc>
      </w:tr>
    </w:tbl>
    <w:p w:rsidR="00C56052" w:rsidRDefault="00C56052" w:rsidP="00C56052">
      <w:pPr>
        <w:rPr>
          <w:vanish/>
        </w:rPr>
      </w:pPr>
    </w:p>
    <w:tbl>
      <w:tblPr>
        <w:tblW w:w="9000" w:type="dxa"/>
        <w:tblCellSpacing w:w="0" w:type="dxa"/>
        <w:tblCellMar>
          <w:left w:w="0" w:type="dxa"/>
          <w:right w:w="0" w:type="dxa"/>
        </w:tblCellMar>
        <w:tblLook w:val="04A0" w:firstRow="1" w:lastRow="0" w:firstColumn="1" w:lastColumn="0" w:noHBand="0" w:noVBand="1"/>
      </w:tblPr>
      <w:tblGrid>
        <w:gridCol w:w="9000"/>
      </w:tblGrid>
      <w:tr w:rsidR="00C56052" w:rsidTr="00C56052">
        <w:trPr>
          <w:tblCellSpacing w:w="0" w:type="dxa"/>
        </w:trPr>
        <w:tc>
          <w:tcPr>
            <w:tcW w:w="0" w:type="auto"/>
            <w:vAlign w:val="center"/>
            <w:hideMark/>
          </w:tcPr>
          <w:p w:rsidR="00C56052" w:rsidRDefault="00C56052">
            <w:r>
              <w:rPr>
                <w:noProof/>
              </w:rPr>
              <w:drawing>
                <wp:inline distT="0" distB="0" distL="0" distR="0" wp14:anchorId="780796E7" wp14:editId="56352530">
                  <wp:extent cx="5715000" cy="190500"/>
                  <wp:effectExtent l="0" t="0" r="0" b="0"/>
                  <wp:docPr id="9" name="Picture 9" descr="http://www2.ergweb.com/listserv/Arlington/WaterSense/Images/body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ergweb.com/listserv/Arlington/WaterSense/Images/body_to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90500"/>
                          </a:xfrm>
                          <a:prstGeom prst="rect">
                            <a:avLst/>
                          </a:prstGeom>
                          <a:noFill/>
                          <a:ln>
                            <a:noFill/>
                          </a:ln>
                        </pic:spPr>
                      </pic:pic>
                    </a:graphicData>
                  </a:graphic>
                </wp:inline>
              </w:drawing>
            </w:r>
          </w:p>
        </w:tc>
      </w:tr>
      <w:tr w:rsidR="00C56052" w:rsidTr="00C56052">
        <w:trPr>
          <w:tblCellSpacing w:w="0" w:type="dxa"/>
        </w:trPr>
        <w:tc>
          <w:tcPr>
            <w:tcW w:w="0" w:type="auto"/>
            <w:tcBorders>
              <w:top w:val="nil"/>
              <w:left w:val="single" w:sz="6" w:space="0" w:color="76ADCB"/>
              <w:bottom w:val="nil"/>
              <w:right w:val="single" w:sz="6" w:space="0" w:color="76ADCB"/>
            </w:tcBorders>
            <w:shd w:val="clear" w:color="auto" w:fill="EDF4F8"/>
            <w:vAlign w:val="center"/>
            <w:hideMark/>
          </w:tcPr>
          <w:tbl>
            <w:tblPr>
              <w:tblW w:w="8970" w:type="dxa"/>
              <w:tblCellSpacing w:w="0" w:type="dxa"/>
              <w:tblCellMar>
                <w:left w:w="0" w:type="dxa"/>
                <w:right w:w="0" w:type="dxa"/>
              </w:tblCellMar>
              <w:tblLook w:val="04A0" w:firstRow="1" w:lastRow="0" w:firstColumn="1" w:lastColumn="0" w:noHBand="0" w:noVBand="1"/>
            </w:tblPr>
            <w:tblGrid>
              <w:gridCol w:w="5670"/>
              <w:gridCol w:w="3300"/>
            </w:tblGrid>
            <w:tr w:rsidR="00C5605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00"/>
                    <w:gridCol w:w="4995"/>
                    <w:gridCol w:w="375"/>
                  </w:tblGrid>
                  <w:tr w:rsidR="00C56052">
                    <w:trPr>
                      <w:trHeight w:val="10740"/>
                      <w:tblCellSpacing w:w="0" w:type="dxa"/>
                    </w:trPr>
                    <w:tc>
                      <w:tcPr>
                        <w:tcW w:w="300" w:type="dxa"/>
                        <w:vAlign w:val="center"/>
                        <w:hideMark/>
                      </w:tcPr>
                      <w:p w:rsidR="00C56052" w:rsidRDefault="00C56052"/>
                    </w:tc>
                    <w:tc>
                      <w:tcPr>
                        <w:tcW w:w="0" w:type="auto"/>
                      </w:tcPr>
                      <w:p w:rsidR="00C56052" w:rsidRDefault="00C56052">
                        <w:pPr>
                          <w:pStyle w:val="Heading5"/>
                          <w:rPr>
                            <w:rFonts w:ascii="Trebuchet MS" w:eastAsiaTheme="minorHAnsi" w:hAnsi="Trebuchet MS"/>
                            <w:color w:val="333333"/>
                          </w:rPr>
                        </w:pPr>
                        <w:r>
                          <w:rPr>
                            <w:rFonts w:ascii="Trebuchet MS" w:eastAsiaTheme="minorHAnsi" w:hAnsi="Trebuchet MS"/>
                            <w:color w:val="333333"/>
                          </w:rPr>
                          <w:t xml:space="preserve">Issue XXXV, </w:t>
                        </w:r>
                        <w:proofErr w:type="gramStart"/>
                        <w:r>
                          <w:rPr>
                            <w:rFonts w:ascii="Trebuchet MS" w:eastAsiaTheme="minorHAnsi" w:hAnsi="Trebuchet MS"/>
                            <w:color w:val="333333"/>
                          </w:rPr>
                          <w:t>Summer</w:t>
                        </w:r>
                        <w:proofErr w:type="gramEnd"/>
                        <w:r>
                          <w:rPr>
                            <w:rFonts w:ascii="Trebuchet MS" w:eastAsiaTheme="minorHAnsi" w:hAnsi="Trebuchet MS"/>
                            <w:color w:val="333333"/>
                          </w:rPr>
                          <w:t xml:space="preserve"> 2015</w:t>
                        </w:r>
                      </w:p>
                      <w:p w:rsidR="00C56052" w:rsidRDefault="00C56052">
                        <w:pPr>
                          <w:pStyle w:val="Heading1"/>
                          <w:rPr>
                            <w:rFonts w:ascii="Trebuchet MS" w:eastAsiaTheme="minorHAnsi" w:hAnsi="Trebuchet MS"/>
                            <w:sz w:val="36"/>
                            <w:szCs w:val="36"/>
                          </w:rPr>
                        </w:pPr>
                        <w:r>
                          <w:rPr>
                            <w:rStyle w:val="Strong"/>
                            <w:rFonts w:ascii="Trebuchet MS" w:eastAsiaTheme="minorHAnsi" w:hAnsi="Trebuchet MS"/>
                            <w:b/>
                            <w:bCs/>
                            <w:color w:val="BD1B20"/>
                            <w:sz w:val="36"/>
                            <w:szCs w:val="36"/>
                          </w:rPr>
                          <w:t>In This Issue:</w:t>
                        </w:r>
                        <w:r>
                          <w:rPr>
                            <w:rFonts w:ascii="Trebuchet MS" w:eastAsiaTheme="minorHAnsi" w:hAnsi="Trebuchet MS"/>
                            <w:sz w:val="36"/>
                            <w:szCs w:val="36"/>
                          </w:rPr>
                          <w:t xml:space="preserve"> </w:t>
                        </w:r>
                      </w:p>
                      <w:p w:rsidR="00C56052" w:rsidRDefault="00C56052">
                        <w:pPr>
                          <w:pStyle w:val="Heading2"/>
                          <w:spacing w:line="270" w:lineRule="atLeast"/>
                          <w:rPr>
                            <w:rFonts w:ascii="Trebuchet MS" w:eastAsiaTheme="minorHAnsi" w:hAnsi="Trebuchet MS"/>
                            <w:color w:val="3379AD"/>
                            <w:sz w:val="24"/>
                            <w:szCs w:val="24"/>
                          </w:rPr>
                        </w:pPr>
                        <w:proofErr w:type="spellStart"/>
                        <w:r>
                          <w:rPr>
                            <w:rStyle w:val="Strong"/>
                            <w:rFonts w:ascii="Trebuchet MS" w:eastAsiaTheme="minorHAnsi" w:hAnsi="Trebuchet MS"/>
                            <w:b/>
                            <w:bCs/>
                            <w:color w:val="3379AD"/>
                            <w:sz w:val="24"/>
                            <w:szCs w:val="24"/>
                          </w:rPr>
                          <w:t>WaterSense</w:t>
                        </w:r>
                        <w:proofErr w:type="spellEnd"/>
                        <w:r>
                          <w:rPr>
                            <w:rStyle w:val="Strong"/>
                            <w:rFonts w:ascii="Trebuchet MS" w:eastAsiaTheme="minorHAnsi" w:hAnsi="Trebuchet MS"/>
                            <w:b/>
                            <w:bCs/>
                            <w:color w:val="3379AD"/>
                            <w:sz w:val="24"/>
                            <w:szCs w:val="24"/>
                          </w:rPr>
                          <w:t xml:space="preserve"> Partners Make a Whopping Difference: 1.1 Trillion Gallons of Water Saved</w:t>
                        </w:r>
                      </w:p>
                      <w:p w:rsidR="00C56052" w:rsidRDefault="00C56052">
                        <w:pPr>
                          <w:pStyle w:val="NormalWeb"/>
                          <w:spacing w:before="0" w:beforeAutospacing="0" w:after="0" w:afterAutospacing="0"/>
                          <w:rPr>
                            <w:rFonts w:ascii="Verdana" w:hAnsi="Verdana"/>
                            <w:sz w:val="18"/>
                            <w:szCs w:val="18"/>
                          </w:rPr>
                        </w:pPr>
                        <w:r>
                          <w:rPr>
                            <w:rFonts w:ascii="Verdana" w:hAnsi="Verdana"/>
                            <w:sz w:val="18"/>
                            <w:szCs w:val="18"/>
                          </w:rPr>
                          <w:t xml:space="preserve">Consumers and commercial entities who invested in </w:t>
                        </w:r>
                        <w:proofErr w:type="spellStart"/>
                        <w:r>
                          <w:rPr>
                            <w:rFonts w:ascii="Verdana" w:hAnsi="Verdana"/>
                            <w:sz w:val="18"/>
                            <w:szCs w:val="18"/>
                          </w:rPr>
                          <w:t>WaterSense</w:t>
                        </w:r>
                        <w:proofErr w:type="spellEnd"/>
                        <w:r>
                          <w:rPr>
                            <w:rFonts w:ascii="Verdana" w:hAnsi="Verdana"/>
                            <w:sz w:val="18"/>
                            <w:szCs w:val="18"/>
                          </w:rPr>
                          <w:t xml:space="preserve"> labeled products have saved a combined total of 1.1 trillion gallons of water and $21.7 billion in water and energy bills since the program's inception in 2006. That's more than the amount of water all the households in Texas use in a year! Last year alone, </w:t>
                        </w:r>
                        <w:hyperlink r:id="rId7" w:history="1">
                          <w:proofErr w:type="spellStart"/>
                          <w:r>
                            <w:rPr>
                              <w:rStyle w:val="Hyperlink"/>
                              <w:rFonts w:ascii="Verdana" w:hAnsi="Verdana"/>
                              <w:sz w:val="18"/>
                              <w:szCs w:val="18"/>
                            </w:rPr>
                            <w:t>WaterSense</w:t>
                          </w:r>
                          <w:proofErr w:type="spellEnd"/>
                          <w:r>
                            <w:rPr>
                              <w:rStyle w:val="Hyperlink"/>
                              <w:rFonts w:ascii="Verdana" w:hAnsi="Verdana"/>
                              <w:sz w:val="18"/>
                              <w:szCs w:val="18"/>
                            </w:rPr>
                            <w:t xml:space="preserve"> labeled products helped reduce water use by 346 billion gallons</w:t>
                          </w:r>
                        </w:hyperlink>
                        <w:r>
                          <w:rPr>
                            <w:rFonts w:ascii="Verdana" w:hAnsi="Verdana"/>
                            <w:sz w:val="18"/>
                            <w:szCs w:val="18"/>
                          </w:rPr>
                          <w:t>.</w:t>
                        </w:r>
                      </w:p>
                      <w:p w:rsidR="00C56052" w:rsidRDefault="00C56052">
                        <w:pPr>
                          <w:pStyle w:val="Heading2"/>
                          <w:spacing w:line="270" w:lineRule="atLeast"/>
                          <w:rPr>
                            <w:rFonts w:ascii="Trebuchet MS" w:eastAsiaTheme="minorHAnsi" w:hAnsi="Trebuchet MS"/>
                            <w:color w:val="3379AD"/>
                            <w:sz w:val="24"/>
                            <w:szCs w:val="24"/>
                          </w:rPr>
                        </w:pPr>
                        <w:r>
                          <w:rPr>
                            <w:rStyle w:val="Strong"/>
                            <w:rFonts w:ascii="Trebuchet MS" w:eastAsiaTheme="minorHAnsi" w:hAnsi="Trebuchet MS"/>
                            <w:b/>
                            <w:bCs/>
                            <w:color w:val="3379AD"/>
                            <w:sz w:val="24"/>
                            <w:szCs w:val="24"/>
                          </w:rPr>
                          <w:t>We're for Water, Whether in Drought or Not</w:t>
                        </w:r>
                      </w:p>
                      <w:p w:rsidR="00C56052" w:rsidRDefault="00C56052">
                        <w:pPr>
                          <w:pStyle w:val="NormalWeb"/>
                          <w:spacing w:before="0" w:beforeAutospacing="0" w:after="0" w:afterAutospacing="0"/>
                          <w:rPr>
                            <w:rFonts w:ascii="Verdana" w:hAnsi="Verdana"/>
                            <w:sz w:val="18"/>
                            <w:szCs w:val="18"/>
                          </w:rPr>
                        </w:pPr>
                        <w:r>
                          <w:rPr>
                            <w:rFonts w:ascii="Verdana" w:hAnsi="Verdana"/>
                            <w:sz w:val="18"/>
                            <w:szCs w:val="18"/>
                          </w:rPr>
                          <w:t xml:space="preserve">Some 300 years ago, Thomas Fuller wrote, "We never know the worth of water, till the well is dry." It might be an old adage, but it's relevant today as more and more communities face concerns from mild water shortages to extreme drought. Even if your area seems well stocked for summer swims, sprinklers, and sails, today's drought reminds us it's always a good idea to save this </w:t>
                        </w:r>
                        <w:hyperlink r:id="rId8" w:history="1">
                          <w:r>
                            <w:rPr>
                              <w:rStyle w:val="Hyperlink"/>
                              <w:rFonts w:ascii="Verdana" w:hAnsi="Verdana"/>
                              <w:sz w:val="18"/>
                              <w:szCs w:val="18"/>
                            </w:rPr>
                            <w:t>precious resource for future generations and fellow consumers nationwide</w:t>
                          </w:r>
                        </w:hyperlink>
                        <w:r>
                          <w:rPr>
                            <w:rFonts w:ascii="Verdana" w:hAnsi="Verdana"/>
                            <w:sz w:val="18"/>
                            <w:szCs w:val="18"/>
                          </w:rPr>
                          <w:t>.</w:t>
                        </w:r>
                      </w:p>
                      <w:p w:rsidR="00C56052" w:rsidRDefault="00C56052">
                        <w:pPr>
                          <w:pStyle w:val="Heading2"/>
                          <w:spacing w:line="270" w:lineRule="atLeast"/>
                          <w:rPr>
                            <w:rFonts w:ascii="Trebuchet MS" w:eastAsiaTheme="minorHAnsi" w:hAnsi="Trebuchet MS"/>
                            <w:color w:val="3379AD"/>
                            <w:sz w:val="24"/>
                            <w:szCs w:val="24"/>
                          </w:rPr>
                        </w:pPr>
                        <w:r>
                          <w:rPr>
                            <w:rStyle w:val="Strong"/>
                            <w:rFonts w:ascii="Trebuchet MS" w:eastAsiaTheme="minorHAnsi" w:hAnsi="Trebuchet MS"/>
                            <w:b/>
                            <w:bCs/>
                            <w:color w:val="3379AD"/>
                            <w:sz w:val="24"/>
                            <w:szCs w:val="24"/>
                          </w:rPr>
                          <w:t xml:space="preserve">Global Entertainment Company Gets Wise </w:t>
                        </w:r>
                        <w:proofErr w:type="gramStart"/>
                        <w:r>
                          <w:rPr>
                            <w:rStyle w:val="Strong"/>
                            <w:rFonts w:ascii="Trebuchet MS" w:eastAsiaTheme="minorHAnsi" w:hAnsi="Trebuchet MS"/>
                            <w:b/>
                            <w:bCs/>
                            <w:color w:val="3379AD"/>
                            <w:sz w:val="24"/>
                            <w:szCs w:val="24"/>
                          </w:rPr>
                          <w:t>About</w:t>
                        </w:r>
                        <w:proofErr w:type="gramEnd"/>
                        <w:r>
                          <w:rPr>
                            <w:rStyle w:val="Strong"/>
                            <w:rFonts w:ascii="Trebuchet MS" w:eastAsiaTheme="minorHAnsi" w:hAnsi="Trebuchet MS"/>
                            <w:b/>
                            <w:bCs/>
                            <w:color w:val="3379AD"/>
                            <w:sz w:val="24"/>
                            <w:szCs w:val="24"/>
                          </w:rPr>
                          <w:t xml:space="preserve"> Water</w:t>
                        </w:r>
                      </w:p>
                      <w:p w:rsidR="00C56052" w:rsidRDefault="00C56052">
                        <w:pPr>
                          <w:pStyle w:val="NormalWeb"/>
                          <w:spacing w:before="0" w:beforeAutospacing="0" w:after="0" w:afterAutospacing="0"/>
                          <w:rPr>
                            <w:rFonts w:ascii="Verdana" w:hAnsi="Verdana"/>
                            <w:sz w:val="18"/>
                            <w:szCs w:val="18"/>
                          </w:rPr>
                        </w:pPr>
                        <w:r>
                          <w:rPr>
                            <w:rFonts w:ascii="Verdana" w:hAnsi="Verdana"/>
                            <w:sz w:val="18"/>
                            <w:szCs w:val="18"/>
                          </w:rPr>
                          <w:t xml:space="preserve">One casino company has hit the jackpot of water savings. From 2008 to 2013, Caesars Entertainment reduced its water use by 18 percent, saving 430 million gallons of water throughout its 39 U.S. properties in the process. The savings come in part by replacing existing fixtures with </w:t>
                        </w:r>
                        <w:hyperlink r:id="rId9" w:history="1">
                          <w:proofErr w:type="spellStart"/>
                          <w:r>
                            <w:rPr>
                              <w:rStyle w:val="Hyperlink"/>
                              <w:rFonts w:ascii="Verdana" w:hAnsi="Verdana"/>
                              <w:sz w:val="18"/>
                              <w:szCs w:val="18"/>
                            </w:rPr>
                            <w:t>WaterSense</w:t>
                          </w:r>
                          <w:proofErr w:type="spellEnd"/>
                          <w:r>
                            <w:rPr>
                              <w:rStyle w:val="Hyperlink"/>
                              <w:rFonts w:ascii="Verdana" w:hAnsi="Verdana"/>
                              <w:sz w:val="18"/>
                              <w:szCs w:val="18"/>
                            </w:rPr>
                            <w:t xml:space="preserve"> labeled models, tracking its water use, and engaging employees</w:t>
                          </w:r>
                        </w:hyperlink>
                        <w:r>
                          <w:rPr>
                            <w:rFonts w:ascii="Verdana" w:hAnsi="Verdana"/>
                            <w:sz w:val="18"/>
                            <w:szCs w:val="18"/>
                          </w:rPr>
                          <w:t>.</w:t>
                        </w:r>
                      </w:p>
                      <w:p w:rsidR="00C56052" w:rsidRDefault="00C56052" w:rsidP="00C56052">
                        <w:pPr>
                          <w:pStyle w:val="Heading2"/>
                          <w:spacing w:line="270" w:lineRule="atLeast"/>
                          <w:rPr>
                            <w:rFonts w:ascii="Trebuchet MS" w:eastAsiaTheme="minorHAnsi" w:hAnsi="Trebuchet MS"/>
                            <w:color w:val="3379AD"/>
                            <w:sz w:val="24"/>
                            <w:szCs w:val="24"/>
                          </w:rPr>
                        </w:pPr>
                        <w:bookmarkStart w:id="1" w:name="_GoBack"/>
                        <w:bookmarkEnd w:id="1"/>
                        <w:r>
                          <w:rPr>
                            <w:rStyle w:val="Strong"/>
                            <w:rFonts w:ascii="Trebuchet MS" w:eastAsiaTheme="minorHAnsi" w:hAnsi="Trebuchet MS"/>
                            <w:b/>
                            <w:bCs/>
                            <w:color w:val="3379AD"/>
                            <w:sz w:val="24"/>
                            <w:szCs w:val="24"/>
                          </w:rPr>
                          <w:t>Colorado Springs Utilities Saves Residents 80 Million Gallons of Water</w:t>
                        </w:r>
                      </w:p>
                      <w:p w:rsidR="00C56052" w:rsidRDefault="00C56052">
                        <w:pPr>
                          <w:pStyle w:val="NormalWeb"/>
                          <w:spacing w:before="0" w:beforeAutospacing="0" w:after="0" w:afterAutospacing="0"/>
                          <w:rPr>
                            <w:rFonts w:ascii="Verdana" w:hAnsi="Verdana"/>
                            <w:sz w:val="18"/>
                            <w:szCs w:val="18"/>
                          </w:rPr>
                        </w:pPr>
                        <w:r>
                          <w:rPr>
                            <w:rFonts w:ascii="Verdana" w:hAnsi="Verdana"/>
                            <w:sz w:val="18"/>
                            <w:szCs w:val="18"/>
                          </w:rPr>
                          <w:t xml:space="preserve">Two-time </w:t>
                        </w:r>
                        <w:proofErr w:type="spellStart"/>
                        <w:r>
                          <w:rPr>
                            <w:rFonts w:ascii="Verdana" w:hAnsi="Verdana"/>
                            <w:sz w:val="18"/>
                            <w:szCs w:val="18"/>
                          </w:rPr>
                          <w:t>WaterSense</w:t>
                        </w:r>
                        <w:proofErr w:type="spellEnd"/>
                        <w:r>
                          <w:rPr>
                            <w:rFonts w:ascii="Verdana" w:hAnsi="Verdana"/>
                            <w:sz w:val="18"/>
                            <w:szCs w:val="18"/>
                          </w:rPr>
                          <w:t xml:space="preserve"> Promotional Partner of the Year Colorado Springs Utilities helped home and business owners significantly reduce their water use through education and </w:t>
                        </w:r>
                        <w:proofErr w:type="spellStart"/>
                        <w:r>
                          <w:rPr>
                            <w:rFonts w:ascii="Verdana" w:hAnsi="Verdana"/>
                            <w:sz w:val="18"/>
                            <w:szCs w:val="18"/>
                          </w:rPr>
                          <w:t>WaterSense</w:t>
                        </w:r>
                        <w:proofErr w:type="spellEnd"/>
                        <w:r>
                          <w:rPr>
                            <w:rFonts w:ascii="Verdana" w:hAnsi="Verdana"/>
                            <w:sz w:val="18"/>
                            <w:szCs w:val="18"/>
                          </w:rPr>
                          <w:t xml:space="preserve"> labeled product rebates. By </w:t>
                        </w:r>
                        <w:r>
                          <w:rPr>
                            <w:rFonts w:ascii="Verdana" w:hAnsi="Verdana"/>
                            <w:sz w:val="18"/>
                            <w:szCs w:val="18"/>
                          </w:rPr>
                          <w:lastRenderedPageBreak/>
                          <w:t xml:space="preserve">supplying more than 7,000 </w:t>
                        </w:r>
                        <w:proofErr w:type="spellStart"/>
                        <w:r>
                          <w:rPr>
                            <w:rFonts w:ascii="Verdana" w:hAnsi="Verdana"/>
                            <w:sz w:val="18"/>
                            <w:szCs w:val="18"/>
                          </w:rPr>
                          <w:t>WaterSense</w:t>
                        </w:r>
                        <w:proofErr w:type="spellEnd"/>
                        <w:r>
                          <w:rPr>
                            <w:rFonts w:ascii="Verdana" w:hAnsi="Verdana"/>
                            <w:sz w:val="18"/>
                            <w:szCs w:val="18"/>
                          </w:rPr>
                          <w:t xml:space="preserve"> labeled product incentives, the utility helped Colorado </w:t>
                        </w:r>
                        <w:hyperlink r:id="rId10" w:history="1">
                          <w:r>
                            <w:rPr>
                              <w:rStyle w:val="Hyperlink"/>
                              <w:rFonts w:ascii="Verdana" w:hAnsi="Verdana"/>
                              <w:sz w:val="18"/>
                              <w:szCs w:val="18"/>
                            </w:rPr>
                            <w:t>residents save an estimated 80 million gallons of water in 2013</w:t>
                          </w:r>
                        </w:hyperlink>
                        <w:r>
                          <w:rPr>
                            <w:rFonts w:ascii="Verdana" w:hAnsi="Verdana"/>
                            <w:sz w:val="18"/>
                            <w:szCs w:val="18"/>
                          </w:rPr>
                          <w:t>.</w:t>
                        </w:r>
                      </w:p>
                      <w:p w:rsidR="00C56052" w:rsidRDefault="00C56052">
                        <w:pPr>
                          <w:pStyle w:val="Heading2"/>
                          <w:spacing w:line="270" w:lineRule="atLeast"/>
                          <w:rPr>
                            <w:rFonts w:ascii="Trebuchet MS" w:eastAsiaTheme="minorHAnsi" w:hAnsi="Trebuchet MS"/>
                            <w:color w:val="3379AD"/>
                            <w:sz w:val="24"/>
                            <w:szCs w:val="24"/>
                          </w:rPr>
                        </w:pPr>
                        <w:r>
                          <w:rPr>
                            <w:rStyle w:val="Strong"/>
                            <w:rFonts w:ascii="Trebuchet MS" w:eastAsiaTheme="minorHAnsi" w:hAnsi="Trebuchet MS"/>
                            <w:b/>
                            <w:bCs/>
                            <w:color w:val="3379AD"/>
                            <w:sz w:val="24"/>
                            <w:szCs w:val="24"/>
                          </w:rPr>
                          <w:t>KB Home and Energy Inspectors Team Up to Bring Savings Home to Consumers</w:t>
                        </w:r>
                      </w:p>
                      <w:p w:rsidR="00C56052" w:rsidRDefault="00C56052">
                        <w:pPr>
                          <w:pStyle w:val="NormalWeb"/>
                          <w:spacing w:before="0" w:beforeAutospacing="0" w:after="0" w:afterAutospacing="0"/>
                          <w:rPr>
                            <w:rFonts w:ascii="Verdana" w:hAnsi="Verdana"/>
                            <w:sz w:val="18"/>
                            <w:szCs w:val="18"/>
                          </w:rPr>
                        </w:pPr>
                        <w:r>
                          <w:rPr>
                            <w:rFonts w:ascii="Verdana" w:hAnsi="Verdana"/>
                            <w:sz w:val="18"/>
                            <w:szCs w:val="18"/>
                          </w:rPr>
                          <w:t xml:space="preserve">Many builders in California are facing a new reality as the state experiences an unprecedented drought, but one partnership in particular is using </w:t>
                        </w:r>
                        <w:proofErr w:type="spellStart"/>
                        <w:r>
                          <w:rPr>
                            <w:rFonts w:ascii="Verdana" w:hAnsi="Verdana"/>
                            <w:sz w:val="18"/>
                            <w:szCs w:val="18"/>
                          </w:rPr>
                          <w:t>WaterSense</w:t>
                        </w:r>
                        <w:proofErr w:type="spellEnd"/>
                        <w:r>
                          <w:rPr>
                            <w:rFonts w:ascii="Verdana" w:hAnsi="Verdana"/>
                            <w:sz w:val="18"/>
                            <w:szCs w:val="18"/>
                          </w:rPr>
                          <w:t xml:space="preserve"> to help meet those challenges. </w:t>
                        </w:r>
                        <w:proofErr w:type="spellStart"/>
                        <w:r>
                          <w:rPr>
                            <w:rFonts w:ascii="Verdana" w:hAnsi="Verdana"/>
                            <w:sz w:val="18"/>
                            <w:szCs w:val="18"/>
                          </w:rPr>
                          <w:t>WaterSense</w:t>
                        </w:r>
                        <w:proofErr w:type="spellEnd"/>
                        <w:r>
                          <w:rPr>
                            <w:rFonts w:ascii="Verdana" w:hAnsi="Verdana"/>
                            <w:sz w:val="18"/>
                            <w:szCs w:val="18"/>
                          </w:rPr>
                          <w:t xml:space="preserve"> Builder Partner of the Year KB Home and Licensed Certification Provider Partner of the Year Energy Inspectors Corporation have joined forces to build and certify, respectively, more than 150 </w:t>
                        </w:r>
                        <w:proofErr w:type="spellStart"/>
                        <w:r>
                          <w:rPr>
                            <w:rFonts w:ascii="Verdana" w:hAnsi="Verdana"/>
                            <w:sz w:val="18"/>
                            <w:szCs w:val="18"/>
                          </w:rPr>
                          <w:t>WaterSense</w:t>
                        </w:r>
                        <w:proofErr w:type="spellEnd"/>
                        <w:r>
                          <w:rPr>
                            <w:rFonts w:ascii="Verdana" w:hAnsi="Verdana"/>
                            <w:sz w:val="18"/>
                            <w:szCs w:val="18"/>
                          </w:rPr>
                          <w:t xml:space="preserve"> labeled new homes during 2013 and 2014 in California. This partnership has allowed them to </w:t>
                        </w:r>
                        <w:hyperlink r:id="rId11" w:history="1">
                          <w:r>
                            <w:rPr>
                              <w:rStyle w:val="Hyperlink"/>
                              <w:rFonts w:ascii="Verdana" w:hAnsi="Verdana"/>
                              <w:sz w:val="18"/>
                              <w:szCs w:val="18"/>
                            </w:rPr>
                            <w:t>help Californians meet drought conditions head on</w:t>
                          </w:r>
                        </w:hyperlink>
                        <w:r>
                          <w:rPr>
                            <w:rFonts w:ascii="Verdana" w:hAnsi="Verdana"/>
                            <w:sz w:val="18"/>
                            <w:szCs w:val="18"/>
                          </w:rPr>
                          <w:t>.</w:t>
                        </w:r>
                      </w:p>
                      <w:p w:rsidR="00C56052" w:rsidRDefault="00C56052"/>
                      <w:p w:rsidR="00C56052" w:rsidRDefault="00C56052">
                        <w:pPr>
                          <w:pStyle w:val="NormalWeb"/>
                          <w:spacing w:before="0" w:beforeAutospacing="0" w:after="0" w:afterAutospacing="0"/>
                          <w:rPr>
                            <w:rFonts w:ascii="Verdana" w:hAnsi="Verdana"/>
                            <w:sz w:val="18"/>
                            <w:szCs w:val="18"/>
                          </w:rPr>
                        </w:pPr>
                        <w:r>
                          <w:rPr>
                            <w:rFonts w:ascii="Verdana" w:hAnsi="Verdana"/>
                            <w:sz w:val="18"/>
                            <w:szCs w:val="18"/>
                          </w:rPr>
                          <w:t xml:space="preserve">If you prefer not to receive these messages, please email </w:t>
                        </w:r>
                        <w:hyperlink r:id="rId12" w:history="1">
                          <w:r>
                            <w:rPr>
                              <w:rStyle w:val="Hyperlink"/>
                              <w:rFonts w:ascii="Verdana" w:hAnsi="Verdana"/>
                              <w:sz w:val="18"/>
                              <w:szCs w:val="18"/>
                            </w:rPr>
                            <w:t>watersense@epa.gov</w:t>
                          </w:r>
                        </w:hyperlink>
                        <w:r>
                          <w:rPr>
                            <w:rFonts w:ascii="Verdana" w:hAnsi="Verdana"/>
                            <w:sz w:val="18"/>
                            <w:szCs w:val="18"/>
                          </w:rPr>
                          <w:t xml:space="preserve"> with "</w:t>
                        </w:r>
                        <w:proofErr w:type="spellStart"/>
                        <w:r>
                          <w:rPr>
                            <w:rStyle w:val="Emphasis"/>
                            <w:rFonts w:ascii="Verdana" w:hAnsi="Verdana"/>
                            <w:sz w:val="18"/>
                            <w:szCs w:val="18"/>
                          </w:rPr>
                          <w:t>WaterSense</w:t>
                        </w:r>
                        <w:proofErr w:type="spellEnd"/>
                        <w:r>
                          <w:rPr>
                            <w:rStyle w:val="Emphasis"/>
                            <w:rFonts w:ascii="Verdana" w:hAnsi="Verdana"/>
                            <w:sz w:val="18"/>
                            <w:szCs w:val="18"/>
                          </w:rPr>
                          <w:t xml:space="preserve"> Current</w:t>
                        </w:r>
                        <w:r>
                          <w:rPr>
                            <w:rFonts w:ascii="Verdana" w:hAnsi="Verdana"/>
                            <w:sz w:val="18"/>
                            <w:szCs w:val="18"/>
                          </w:rPr>
                          <w:t xml:space="preserve"> unsubscribe" indicated in the subject line.</w:t>
                        </w:r>
                      </w:p>
                    </w:tc>
                    <w:tc>
                      <w:tcPr>
                        <w:tcW w:w="375" w:type="dxa"/>
                        <w:vAlign w:val="center"/>
                        <w:hideMark/>
                      </w:tcPr>
                      <w:p w:rsidR="00C56052" w:rsidRDefault="00C56052">
                        <w:r>
                          <w:lastRenderedPageBreak/>
                          <w:t> </w:t>
                        </w:r>
                      </w:p>
                    </w:tc>
                  </w:tr>
                </w:tbl>
                <w:p w:rsidR="00C56052" w:rsidRDefault="00C56052">
                  <w:pPr>
                    <w:rPr>
                      <w:rFonts w:asciiTheme="minorHAnsi" w:hAnsiTheme="minorHAnsi"/>
                      <w:sz w:val="22"/>
                      <w:szCs w:val="22"/>
                    </w:rPr>
                  </w:pPr>
                </w:p>
              </w:tc>
              <w:tc>
                <w:tcPr>
                  <w:tcW w:w="3300" w:type="dxa"/>
                  <w:hideMark/>
                </w:tcPr>
                <w:tbl>
                  <w:tblPr>
                    <w:tblW w:w="2970" w:type="dxa"/>
                    <w:tblCellSpacing w:w="0" w:type="dxa"/>
                    <w:tblCellMar>
                      <w:left w:w="0" w:type="dxa"/>
                      <w:right w:w="0" w:type="dxa"/>
                    </w:tblCellMar>
                    <w:tblLook w:val="04A0" w:firstRow="1" w:lastRow="0" w:firstColumn="1" w:lastColumn="0" w:noHBand="0" w:noVBand="1"/>
                  </w:tblPr>
                  <w:tblGrid>
                    <w:gridCol w:w="2970"/>
                  </w:tblGrid>
                  <w:tr w:rsidR="00C56052">
                    <w:trPr>
                      <w:tblCellSpacing w:w="0" w:type="dxa"/>
                    </w:trPr>
                    <w:tc>
                      <w:tcPr>
                        <w:tcW w:w="0" w:type="auto"/>
                        <w:hideMark/>
                      </w:tcPr>
                      <w:tbl>
                        <w:tblPr>
                          <w:tblW w:w="2910" w:type="dxa"/>
                          <w:tblCellSpacing w:w="15" w:type="dxa"/>
                          <w:tblLook w:val="04A0" w:firstRow="1" w:lastRow="0" w:firstColumn="1" w:lastColumn="0" w:noHBand="0" w:noVBand="1"/>
                        </w:tblPr>
                        <w:tblGrid>
                          <w:gridCol w:w="2375"/>
                          <w:gridCol w:w="535"/>
                        </w:tblGrid>
                        <w:tr w:rsidR="00C56052">
                          <w:trPr>
                            <w:tblCellSpacing w:w="15" w:type="dxa"/>
                          </w:trPr>
                          <w:tc>
                            <w:tcPr>
                              <w:tcW w:w="2280" w:type="dxa"/>
                              <w:tcMar>
                                <w:top w:w="15" w:type="dxa"/>
                                <w:left w:w="15" w:type="dxa"/>
                                <w:bottom w:w="15" w:type="dxa"/>
                                <w:right w:w="15" w:type="dxa"/>
                              </w:tcMar>
                              <w:vAlign w:val="center"/>
                              <w:hideMark/>
                            </w:tcPr>
                            <w:p w:rsidR="00C56052" w:rsidRDefault="00C56052">
                              <w:pPr>
                                <w:pStyle w:val="NormalWeb"/>
                                <w:spacing w:before="0" w:beforeAutospacing="0" w:after="0" w:afterAutospacing="0"/>
                                <w:jc w:val="right"/>
                                <w:rPr>
                                  <w:rFonts w:ascii="Verdana" w:hAnsi="Verdana"/>
                                  <w:sz w:val="14"/>
                                  <w:szCs w:val="14"/>
                                </w:rPr>
                              </w:pPr>
                              <w:hyperlink r:id="rId13" w:history="1">
                                <w:r>
                                  <w:rPr>
                                    <w:rStyle w:val="Hyperlink"/>
                                    <w:rFonts w:ascii="Verdana" w:hAnsi="Verdana"/>
                                    <w:sz w:val="14"/>
                                    <w:szCs w:val="14"/>
                                  </w:rPr>
                                  <w:t>Follow us on Twitter</w:t>
                                </w:r>
                              </w:hyperlink>
                            </w:p>
                          </w:tc>
                          <w:tc>
                            <w:tcPr>
                              <w:tcW w:w="480" w:type="dxa"/>
                              <w:tcMar>
                                <w:top w:w="15" w:type="dxa"/>
                                <w:left w:w="15" w:type="dxa"/>
                                <w:bottom w:w="15" w:type="dxa"/>
                                <w:right w:w="15" w:type="dxa"/>
                              </w:tcMar>
                              <w:vAlign w:val="center"/>
                              <w:hideMark/>
                            </w:tcPr>
                            <w:p w:rsidR="00C56052" w:rsidRDefault="00C56052">
                              <w:pPr>
                                <w:jc w:val="right"/>
                              </w:pPr>
                              <w:r>
                                <w:rPr>
                                  <w:noProof/>
                                  <w:color w:val="117FB4"/>
                                </w:rPr>
                                <w:drawing>
                                  <wp:inline distT="0" distB="0" distL="0" distR="0" wp14:anchorId="4FE07349" wp14:editId="70B390FB">
                                    <wp:extent cx="228600" cy="228600"/>
                                    <wp:effectExtent l="0" t="0" r="0" b="0"/>
                                    <wp:docPr id="8" name="Picture 8" descr="Twitt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C56052">
                          <w:trPr>
                            <w:trHeight w:val="630"/>
                            <w:tblCellSpacing w:w="15" w:type="dxa"/>
                          </w:trPr>
                          <w:tc>
                            <w:tcPr>
                              <w:tcW w:w="0" w:type="auto"/>
                              <w:tcMar>
                                <w:top w:w="15" w:type="dxa"/>
                                <w:left w:w="15" w:type="dxa"/>
                                <w:bottom w:w="15" w:type="dxa"/>
                                <w:right w:w="15" w:type="dxa"/>
                              </w:tcMar>
                              <w:vAlign w:val="center"/>
                              <w:hideMark/>
                            </w:tcPr>
                            <w:p w:rsidR="00C56052" w:rsidRDefault="00C56052">
                              <w:pPr>
                                <w:pStyle w:val="NormalWeb"/>
                                <w:spacing w:before="0" w:beforeAutospacing="0" w:after="0" w:afterAutospacing="0"/>
                                <w:jc w:val="right"/>
                                <w:rPr>
                                  <w:rFonts w:ascii="Verdana" w:hAnsi="Verdana"/>
                                  <w:sz w:val="14"/>
                                  <w:szCs w:val="14"/>
                                </w:rPr>
                              </w:pPr>
                              <w:hyperlink r:id="rId15" w:history="1">
                                <w:r>
                                  <w:rPr>
                                    <w:rStyle w:val="Hyperlink"/>
                                    <w:rFonts w:ascii="Verdana" w:hAnsi="Verdana"/>
                                    <w:sz w:val="14"/>
                                    <w:szCs w:val="14"/>
                                  </w:rPr>
                                  <w:t>Like us on Facebook</w:t>
                                </w:r>
                              </w:hyperlink>
                            </w:p>
                          </w:tc>
                          <w:tc>
                            <w:tcPr>
                              <w:tcW w:w="480" w:type="dxa"/>
                              <w:tcMar>
                                <w:top w:w="15" w:type="dxa"/>
                                <w:left w:w="15" w:type="dxa"/>
                                <w:bottom w:w="15" w:type="dxa"/>
                                <w:right w:w="15" w:type="dxa"/>
                              </w:tcMar>
                              <w:vAlign w:val="center"/>
                              <w:hideMark/>
                            </w:tcPr>
                            <w:p w:rsidR="00C56052" w:rsidRDefault="00C56052">
                              <w:pPr>
                                <w:jc w:val="right"/>
                              </w:pPr>
                              <w:r>
                                <w:rPr>
                                  <w:noProof/>
                                  <w:color w:val="117FB4"/>
                                </w:rPr>
                                <w:drawing>
                                  <wp:inline distT="0" distB="0" distL="0" distR="0" wp14:anchorId="33CDE8BE" wp14:editId="7D6688BA">
                                    <wp:extent cx="228600" cy="228600"/>
                                    <wp:effectExtent l="0" t="0" r="0" b="0"/>
                                    <wp:docPr id="7" name="Picture 7" descr="Faceboo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C56052" w:rsidRDefault="00C56052">
                        <w:pPr>
                          <w:rPr>
                            <w:rFonts w:asciiTheme="minorHAnsi" w:hAnsiTheme="minorHAnsi"/>
                            <w:sz w:val="22"/>
                            <w:szCs w:val="22"/>
                          </w:rPr>
                        </w:pPr>
                      </w:p>
                    </w:tc>
                  </w:tr>
                  <w:tr w:rsidR="00C56052">
                    <w:trPr>
                      <w:tblCellSpacing w:w="0" w:type="dxa"/>
                    </w:trPr>
                    <w:tc>
                      <w:tcPr>
                        <w:tcW w:w="0" w:type="auto"/>
                        <w:hideMark/>
                      </w:tcPr>
                      <w:p w:rsidR="00C56052" w:rsidRDefault="00C56052">
                        <w:r>
                          <w:rPr>
                            <w:noProof/>
                          </w:rPr>
                          <w:drawing>
                            <wp:inline distT="0" distB="0" distL="0" distR="0" wp14:anchorId="61984141" wp14:editId="290C33DB">
                              <wp:extent cx="1885950" cy="95250"/>
                              <wp:effectExtent l="0" t="0" r="0" b="0"/>
                              <wp:docPr id="6" name="Picture 6" descr="http://www2.ergweb.com/listserv/Arlington/WaterSense/Images/current_aboutws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2.ergweb.com/listserv/Arlington/WaterSense/Images/current_aboutws_top.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5950" cy="95250"/>
                                      </a:xfrm>
                                      <a:prstGeom prst="rect">
                                        <a:avLst/>
                                      </a:prstGeom>
                                      <a:noFill/>
                                      <a:ln>
                                        <a:noFill/>
                                      </a:ln>
                                    </pic:spPr>
                                  </pic:pic>
                                </a:graphicData>
                              </a:graphic>
                            </wp:inline>
                          </w:drawing>
                        </w:r>
                      </w:p>
                    </w:tc>
                  </w:tr>
                  <w:tr w:rsidR="00C56052">
                    <w:trPr>
                      <w:tblCellSpacing w:w="0" w:type="dxa"/>
                    </w:trPr>
                    <w:tc>
                      <w:tcPr>
                        <w:tcW w:w="0" w:type="auto"/>
                        <w:tcBorders>
                          <w:top w:val="nil"/>
                          <w:left w:val="single" w:sz="6" w:space="0" w:color="3390B9"/>
                          <w:bottom w:val="nil"/>
                          <w:right w:val="single" w:sz="6" w:space="0" w:color="3390B9"/>
                        </w:tcBorders>
                        <w:shd w:val="clear" w:color="auto" w:fill="F5F0F9"/>
                        <w:vAlign w:val="center"/>
                        <w:hideMark/>
                      </w:tcPr>
                      <w:tbl>
                        <w:tblPr>
                          <w:tblW w:w="5000" w:type="pct"/>
                          <w:tblCellSpacing w:w="0" w:type="dxa"/>
                          <w:tblCellMar>
                            <w:left w:w="0" w:type="dxa"/>
                            <w:right w:w="0" w:type="dxa"/>
                          </w:tblCellMar>
                          <w:tblLook w:val="04A0" w:firstRow="1" w:lastRow="0" w:firstColumn="1" w:lastColumn="0" w:noHBand="0" w:noVBand="1"/>
                        </w:tblPr>
                        <w:tblGrid>
                          <w:gridCol w:w="225"/>
                          <w:gridCol w:w="2490"/>
                          <w:gridCol w:w="225"/>
                        </w:tblGrid>
                        <w:tr w:rsidR="00C56052">
                          <w:trPr>
                            <w:tblCellSpacing w:w="0" w:type="dxa"/>
                          </w:trPr>
                          <w:tc>
                            <w:tcPr>
                              <w:tcW w:w="225" w:type="dxa"/>
                              <w:vAlign w:val="center"/>
                              <w:hideMark/>
                            </w:tcPr>
                            <w:p w:rsidR="00C56052" w:rsidRDefault="00C56052">
                              <w:r>
                                <w:t> </w:t>
                              </w:r>
                            </w:p>
                          </w:tc>
                          <w:tc>
                            <w:tcPr>
                              <w:tcW w:w="0" w:type="auto"/>
                              <w:vAlign w:val="center"/>
                              <w:hideMark/>
                            </w:tcPr>
                            <w:p w:rsidR="00C56052" w:rsidRDefault="00C56052">
                              <w:pPr>
                                <w:pStyle w:val="sidebartext"/>
                                <w:spacing w:before="0" w:beforeAutospacing="0" w:after="0" w:afterAutospacing="0"/>
                                <w:rPr>
                                  <w:rFonts w:ascii="Verdana" w:hAnsi="Verdana"/>
                                  <w:sz w:val="16"/>
                                  <w:szCs w:val="16"/>
                                </w:rPr>
                              </w:pPr>
                              <w:proofErr w:type="spellStart"/>
                              <w:r>
                                <w:rPr>
                                  <w:rFonts w:ascii="Verdana" w:hAnsi="Verdana"/>
                                  <w:sz w:val="15"/>
                                  <w:szCs w:val="15"/>
                                </w:rPr>
                                <w:t>WaterSense</w:t>
                              </w:r>
                              <w:proofErr w:type="spellEnd"/>
                              <w:r>
                                <w:rPr>
                                  <w:rFonts w:ascii="Verdana" w:hAnsi="Verdana"/>
                                  <w:sz w:val="15"/>
                                  <w:szCs w:val="15"/>
                                </w:rPr>
                                <w:t>, a partnership program sponsored by the U.S. Environmental Protection Agency, seeks to protect the future of our nation's water supply by offering people simple ways to use less water.</w:t>
                              </w:r>
                              <w:r>
                                <w:rPr>
                                  <w:rFonts w:ascii="Verdana" w:hAnsi="Verdana"/>
                                  <w:sz w:val="15"/>
                                  <w:szCs w:val="15"/>
                                </w:rPr>
                                <w:br/>
                              </w:r>
                              <w:r>
                                <w:rPr>
                                  <w:rFonts w:ascii="Verdana" w:hAnsi="Verdana"/>
                                  <w:sz w:val="15"/>
                                  <w:szCs w:val="15"/>
                                </w:rPr>
                                <w:br/>
                                <w:t xml:space="preserve">The </w:t>
                              </w:r>
                              <w:proofErr w:type="spellStart"/>
                              <w:r>
                                <w:rPr>
                                  <w:rStyle w:val="Emphasis"/>
                                  <w:rFonts w:ascii="Verdana" w:hAnsi="Verdana"/>
                                  <w:sz w:val="15"/>
                                  <w:szCs w:val="15"/>
                                </w:rPr>
                                <w:t>WaterSense</w:t>
                              </w:r>
                              <w:proofErr w:type="spellEnd"/>
                              <w:r>
                                <w:rPr>
                                  <w:rStyle w:val="Emphasis"/>
                                  <w:rFonts w:ascii="Verdana" w:hAnsi="Verdana"/>
                                  <w:sz w:val="15"/>
                                  <w:szCs w:val="15"/>
                                </w:rPr>
                                <w:t xml:space="preserve"> Current</w:t>
                              </w:r>
                              <w:r>
                                <w:rPr>
                                  <w:rFonts w:ascii="Verdana" w:hAnsi="Verdana"/>
                                  <w:sz w:val="15"/>
                                  <w:szCs w:val="15"/>
                                </w:rPr>
                                <w:t xml:space="preserve"> is a quarterly update dedicated to news and events related to </w:t>
                              </w:r>
                              <w:proofErr w:type="spellStart"/>
                              <w:r>
                                <w:rPr>
                                  <w:rFonts w:ascii="Verdana" w:hAnsi="Verdana"/>
                                  <w:sz w:val="15"/>
                                  <w:szCs w:val="15"/>
                                </w:rPr>
                                <w:t>WaterSense</w:t>
                              </w:r>
                              <w:proofErr w:type="spellEnd"/>
                              <w:r>
                                <w:rPr>
                                  <w:rFonts w:ascii="Verdana" w:hAnsi="Verdana"/>
                                  <w:sz w:val="15"/>
                                  <w:szCs w:val="15"/>
                                </w:rPr>
                                <w:t xml:space="preserve">. For more information, please visit the </w:t>
                              </w:r>
                              <w:hyperlink r:id="rId18" w:history="1">
                                <w:proofErr w:type="spellStart"/>
                                <w:r>
                                  <w:rPr>
                                    <w:rStyle w:val="Hyperlink"/>
                                    <w:rFonts w:ascii="Verdana" w:hAnsi="Verdana"/>
                                    <w:sz w:val="15"/>
                                    <w:szCs w:val="15"/>
                                  </w:rPr>
                                  <w:t>WaterSense</w:t>
                                </w:r>
                                <w:proofErr w:type="spellEnd"/>
                                <w:r>
                                  <w:rPr>
                                    <w:rStyle w:val="Hyperlink"/>
                                    <w:rFonts w:ascii="Verdana" w:hAnsi="Verdana"/>
                                    <w:sz w:val="15"/>
                                    <w:szCs w:val="15"/>
                                  </w:rPr>
                                  <w:t xml:space="preserve"> website</w:t>
                                </w:r>
                              </w:hyperlink>
                              <w:r>
                                <w:rPr>
                                  <w:rFonts w:ascii="Verdana" w:hAnsi="Verdana"/>
                                  <w:sz w:val="15"/>
                                  <w:szCs w:val="15"/>
                                </w:rPr>
                                <w:t>.</w:t>
                              </w:r>
                            </w:p>
                          </w:tc>
                          <w:tc>
                            <w:tcPr>
                              <w:tcW w:w="225" w:type="dxa"/>
                              <w:vAlign w:val="center"/>
                              <w:hideMark/>
                            </w:tcPr>
                            <w:p w:rsidR="00C56052" w:rsidRDefault="00C56052">
                              <w:r>
                                <w:t> </w:t>
                              </w:r>
                            </w:p>
                          </w:tc>
                        </w:tr>
                      </w:tbl>
                      <w:p w:rsidR="00C56052" w:rsidRDefault="00C56052">
                        <w:pPr>
                          <w:rPr>
                            <w:rFonts w:asciiTheme="minorHAnsi" w:hAnsiTheme="minorHAnsi"/>
                            <w:sz w:val="22"/>
                            <w:szCs w:val="22"/>
                          </w:rPr>
                        </w:pPr>
                      </w:p>
                    </w:tc>
                  </w:tr>
                  <w:tr w:rsidR="00C56052">
                    <w:trPr>
                      <w:tblCellSpacing w:w="0" w:type="dxa"/>
                    </w:trPr>
                    <w:tc>
                      <w:tcPr>
                        <w:tcW w:w="0" w:type="auto"/>
                        <w:hideMark/>
                      </w:tcPr>
                      <w:p w:rsidR="00C56052" w:rsidRDefault="00C56052">
                        <w:r>
                          <w:rPr>
                            <w:noProof/>
                          </w:rPr>
                          <w:drawing>
                            <wp:inline distT="0" distB="0" distL="0" distR="0" wp14:anchorId="542E18D9" wp14:editId="077C10D5">
                              <wp:extent cx="1885950" cy="619125"/>
                              <wp:effectExtent l="0" t="0" r="0" b="9525"/>
                              <wp:docPr id="5" name="Picture 5" descr="Photo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of wat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85950" cy="619125"/>
                                      </a:xfrm>
                                      <a:prstGeom prst="rect">
                                        <a:avLst/>
                                      </a:prstGeom>
                                      <a:noFill/>
                                      <a:ln>
                                        <a:noFill/>
                                      </a:ln>
                                    </pic:spPr>
                                  </pic:pic>
                                </a:graphicData>
                              </a:graphic>
                            </wp:inline>
                          </w:drawing>
                        </w:r>
                      </w:p>
                    </w:tc>
                  </w:tr>
                </w:tbl>
                <w:p w:rsidR="00C56052" w:rsidRDefault="00C56052">
                  <w:pPr>
                    <w:pStyle w:val="NormalWeb"/>
                    <w:spacing w:before="0" w:beforeAutospacing="0" w:after="0" w:afterAutospacing="0"/>
                    <w:rPr>
                      <w:rFonts w:ascii="Verdana" w:hAnsi="Verdana"/>
                      <w:sz w:val="18"/>
                      <w:szCs w:val="18"/>
                    </w:rPr>
                  </w:pPr>
                  <w:r>
                    <w:rPr>
                      <w:rFonts w:ascii="Verdana" w:hAnsi="Verdana"/>
                      <w:sz w:val="18"/>
                      <w:szCs w:val="18"/>
                    </w:rPr>
                    <w:t> </w:t>
                  </w:r>
                </w:p>
                <w:tbl>
                  <w:tblPr>
                    <w:tblW w:w="2970" w:type="dxa"/>
                    <w:tblCellSpacing w:w="0" w:type="dxa"/>
                    <w:tblCellMar>
                      <w:left w:w="0" w:type="dxa"/>
                      <w:right w:w="0" w:type="dxa"/>
                    </w:tblCellMar>
                    <w:tblLook w:val="04A0" w:firstRow="1" w:lastRow="0" w:firstColumn="1" w:lastColumn="0" w:noHBand="0" w:noVBand="1"/>
                  </w:tblPr>
                  <w:tblGrid>
                    <w:gridCol w:w="2970"/>
                  </w:tblGrid>
                  <w:tr w:rsidR="00C56052">
                    <w:trPr>
                      <w:tblCellSpacing w:w="0" w:type="dxa"/>
                    </w:trPr>
                    <w:tc>
                      <w:tcPr>
                        <w:tcW w:w="0" w:type="auto"/>
                        <w:hideMark/>
                      </w:tcPr>
                      <w:tbl>
                        <w:tblPr>
                          <w:tblW w:w="2970" w:type="dxa"/>
                          <w:tblCellSpacing w:w="0" w:type="dxa"/>
                          <w:tblCellMar>
                            <w:left w:w="0" w:type="dxa"/>
                            <w:right w:w="0" w:type="dxa"/>
                          </w:tblCellMar>
                          <w:tblLook w:val="04A0" w:firstRow="1" w:lastRow="0" w:firstColumn="1" w:lastColumn="0" w:noHBand="0" w:noVBand="1"/>
                        </w:tblPr>
                        <w:tblGrid>
                          <w:gridCol w:w="2970"/>
                        </w:tblGrid>
                        <w:tr w:rsidR="00C56052">
                          <w:trPr>
                            <w:tblCellSpacing w:w="0" w:type="dxa"/>
                          </w:trPr>
                          <w:tc>
                            <w:tcPr>
                              <w:tcW w:w="0" w:type="auto"/>
                              <w:hideMark/>
                            </w:tcPr>
                            <w:p w:rsidR="00C56052" w:rsidRDefault="00C56052">
                              <w:r>
                                <w:rPr>
                                  <w:noProof/>
                                </w:rPr>
                                <w:drawing>
                                  <wp:inline distT="0" distB="0" distL="0" distR="0" wp14:anchorId="3D9E603E" wp14:editId="7FDF1272">
                                    <wp:extent cx="1885950" cy="952500"/>
                                    <wp:effectExtent l="0" t="0" r="0" b="0"/>
                                    <wp:docPr id="4" name="Picture 4" descr="How Many Drops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w Many Drops of Wat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85950" cy="952500"/>
                                            </a:xfrm>
                                            <a:prstGeom prst="rect">
                                              <a:avLst/>
                                            </a:prstGeom>
                                            <a:noFill/>
                                            <a:ln>
                                              <a:noFill/>
                                            </a:ln>
                                          </pic:spPr>
                                        </pic:pic>
                                      </a:graphicData>
                                    </a:graphic>
                                  </wp:inline>
                                </w:drawing>
                              </w:r>
                            </w:p>
                          </w:tc>
                        </w:tr>
                        <w:tr w:rsidR="00C56052">
                          <w:trPr>
                            <w:tblCellSpacing w:w="0" w:type="dxa"/>
                          </w:trPr>
                          <w:tc>
                            <w:tcPr>
                              <w:tcW w:w="0" w:type="auto"/>
                              <w:tcBorders>
                                <w:top w:val="nil"/>
                                <w:left w:val="single" w:sz="6" w:space="0" w:color="3390B9"/>
                                <w:bottom w:val="nil"/>
                                <w:right w:val="single" w:sz="6" w:space="0" w:color="3390B9"/>
                              </w:tcBorders>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50"/>
                                <w:gridCol w:w="2640"/>
                                <w:gridCol w:w="150"/>
                              </w:tblGrid>
                              <w:tr w:rsidR="00C56052">
                                <w:trPr>
                                  <w:tblCellSpacing w:w="0" w:type="dxa"/>
                                </w:trPr>
                                <w:tc>
                                  <w:tcPr>
                                    <w:tcW w:w="150" w:type="dxa"/>
                                    <w:vAlign w:val="center"/>
                                    <w:hideMark/>
                                  </w:tcPr>
                                  <w:p w:rsidR="00C56052" w:rsidRDefault="00C56052">
                                    <w:r>
                                      <w:t> </w:t>
                                    </w:r>
                                  </w:p>
                                </w:tc>
                                <w:tc>
                                  <w:tcPr>
                                    <w:tcW w:w="0" w:type="auto"/>
                                    <w:vAlign w:val="center"/>
                                    <w:hideMark/>
                                  </w:tcPr>
                                  <w:p w:rsidR="00C56052" w:rsidRDefault="00C56052">
                                    <w:pPr>
                                      <w:pStyle w:val="sidebartext"/>
                                      <w:spacing w:before="0" w:beforeAutospacing="0" w:after="0" w:afterAutospacing="0"/>
                                      <w:rPr>
                                        <w:rFonts w:ascii="Verdana" w:hAnsi="Verdana"/>
                                        <w:sz w:val="16"/>
                                        <w:szCs w:val="16"/>
                                      </w:rPr>
                                    </w:pPr>
                                    <w:r>
                                      <w:rPr>
                                        <w:rFonts w:ascii="Verdana" w:hAnsi="Verdana"/>
                                        <w:sz w:val="15"/>
                                        <w:szCs w:val="15"/>
                                      </w:rPr>
                                      <w:t>How many gallons of water are used by watering the average-sized U.S. lawn for 20 minutes four times per week?</w:t>
                                    </w:r>
                                  </w:p>
                                  <w:p w:rsidR="00C56052" w:rsidRDefault="00C56052">
                                    <w:pPr>
                                      <w:pStyle w:val="sidebartext"/>
                                      <w:spacing w:before="0" w:beforeAutospacing="0" w:after="0" w:afterAutospacing="0"/>
                                      <w:rPr>
                                        <w:rFonts w:ascii="Verdana" w:hAnsi="Verdana"/>
                                        <w:sz w:val="16"/>
                                        <w:szCs w:val="16"/>
                                      </w:rPr>
                                    </w:pPr>
                                    <w:r>
                                      <w:rPr>
                                        <w:rFonts w:ascii="Verdana" w:hAnsi="Verdana"/>
                                        <w:sz w:val="16"/>
                                        <w:szCs w:val="16"/>
                                      </w:rPr>
                                      <w:t> </w:t>
                                    </w:r>
                                  </w:p>
                                  <w:p w:rsidR="00C56052" w:rsidRDefault="00C56052">
                                    <w:pPr>
                                      <w:pStyle w:val="sidebartext"/>
                                      <w:spacing w:before="0" w:beforeAutospacing="0" w:after="0" w:afterAutospacing="0"/>
                                      <w:rPr>
                                        <w:rFonts w:ascii="Verdana" w:hAnsi="Verdana"/>
                                        <w:sz w:val="16"/>
                                        <w:szCs w:val="16"/>
                                      </w:rPr>
                                    </w:pPr>
                                    <w:r>
                                      <w:rPr>
                                        <w:rFonts w:ascii="Verdana" w:hAnsi="Verdana"/>
                                        <w:sz w:val="15"/>
                                        <w:szCs w:val="15"/>
                                      </w:rPr>
                                      <w:t>a. 100</w:t>
                                    </w:r>
                                  </w:p>
                                  <w:p w:rsidR="00C56052" w:rsidRDefault="00C56052">
                                    <w:pPr>
                                      <w:pStyle w:val="sidebartext"/>
                                      <w:spacing w:before="0" w:beforeAutospacing="0" w:after="0" w:afterAutospacing="0"/>
                                      <w:rPr>
                                        <w:rFonts w:ascii="Verdana" w:hAnsi="Verdana"/>
                                        <w:sz w:val="16"/>
                                        <w:szCs w:val="16"/>
                                      </w:rPr>
                                    </w:pPr>
                                    <w:r>
                                      <w:rPr>
                                        <w:rFonts w:ascii="Verdana" w:hAnsi="Verdana"/>
                                        <w:sz w:val="15"/>
                                        <w:szCs w:val="15"/>
                                      </w:rPr>
                                      <w:t>b. 1,000</w:t>
                                    </w:r>
                                  </w:p>
                                  <w:p w:rsidR="00C56052" w:rsidRDefault="00C56052">
                                    <w:pPr>
                                      <w:pStyle w:val="sidebartext"/>
                                      <w:spacing w:before="0" w:beforeAutospacing="0" w:after="0" w:afterAutospacing="0"/>
                                      <w:rPr>
                                        <w:rFonts w:ascii="Verdana" w:hAnsi="Verdana"/>
                                        <w:sz w:val="16"/>
                                        <w:szCs w:val="16"/>
                                      </w:rPr>
                                    </w:pPr>
                                    <w:r>
                                      <w:rPr>
                                        <w:rFonts w:ascii="Verdana" w:hAnsi="Verdana"/>
                                        <w:sz w:val="15"/>
                                        <w:szCs w:val="15"/>
                                      </w:rPr>
                                      <w:t>c. 10,000</w:t>
                                    </w:r>
                                  </w:p>
                                  <w:p w:rsidR="00C56052" w:rsidRDefault="00C56052">
                                    <w:pPr>
                                      <w:pStyle w:val="sidebartext"/>
                                      <w:spacing w:before="0" w:beforeAutospacing="0" w:after="0" w:afterAutospacing="0"/>
                                      <w:rPr>
                                        <w:rFonts w:ascii="Verdana" w:hAnsi="Verdana"/>
                                        <w:sz w:val="16"/>
                                        <w:szCs w:val="16"/>
                                      </w:rPr>
                                    </w:pPr>
                                    <w:r>
                                      <w:rPr>
                                        <w:rFonts w:ascii="Verdana" w:hAnsi="Verdana"/>
                                        <w:sz w:val="16"/>
                                        <w:szCs w:val="16"/>
                                      </w:rPr>
                                      <w:t> </w:t>
                                    </w:r>
                                  </w:p>
                                  <w:p w:rsidR="00C56052" w:rsidRDefault="00C56052">
                                    <w:pPr>
                                      <w:pStyle w:val="sidebartext"/>
                                      <w:spacing w:before="0" w:beforeAutospacing="0" w:after="0" w:afterAutospacing="0"/>
                                      <w:rPr>
                                        <w:rFonts w:ascii="Verdana" w:hAnsi="Verdana"/>
                                        <w:sz w:val="16"/>
                                        <w:szCs w:val="16"/>
                                      </w:rPr>
                                    </w:pPr>
                                    <w:r>
                                      <w:rPr>
                                        <w:rFonts w:ascii="Verdana" w:hAnsi="Verdana"/>
                                        <w:sz w:val="15"/>
                                        <w:szCs w:val="15"/>
                                      </w:rPr>
                                      <w:t xml:space="preserve">See this issue of the </w:t>
                                    </w:r>
                                    <w:proofErr w:type="spellStart"/>
                                    <w:r>
                                      <w:rPr>
                                        <w:rStyle w:val="Emphasis"/>
                                        <w:rFonts w:ascii="Verdana" w:hAnsi="Verdana"/>
                                        <w:sz w:val="15"/>
                                        <w:szCs w:val="15"/>
                                      </w:rPr>
                                      <w:t>WaterSense</w:t>
                                    </w:r>
                                    <w:proofErr w:type="spellEnd"/>
                                    <w:r>
                                      <w:rPr>
                                        <w:rStyle w:val="Emphasis"/>
                                        <w:rFonts w:ascii="Verdana" w:hAnsi="Verdana"/>
                                        <w:sz w:val="15"/>
                                        <w:szCs w:val="15"/>
                                      </w:rPr>
                                      <w:t xml:space="preserve"> Current</w:t>
                                    </w:r>
                                    <w:r>
                                      <w:rPr>
                                        <w:rFonts w:ascii="Verdana" w:hAnsi="Verdana"/>
                                        <w:sz w:val="15"/>
                                        <w:szCs w:val="15"/>
                                      </w:rPr>
                                      <w:t xml:space="preserve"> for the </w:t>
                                    </w:r>
                                    <w:hyperlink r:id="rId21" w:history="1">
                                      <w:r>
                                        <w:rPr>
                                          <w:rStyle w:val="Hyperlink"/>
                                          <w:rFonts w:ascii="Verdana" w:hAnsi="Verdana"/>
                                          <w:sz w:val="15"/>
                                          <w:szCs w:val="15"/>
                                        </w:rPr>
                                        <w:t>correct answer</w:t>
                                      </w:r>
                                    </w:hyperlink>
                                    <w:r>
                                      <w:rPr>
                                        <w:rFonts w:ascii="Verdana" w:hAnsi="Verdana"/>
                                        <w:sz w:val="15"/>
                                        <w:szCs w:val="15"/>
                                      </w:rPr>
                                      <w:t>!</w:t>
                                    </w:r>
                                  </w:p>
                                </w:tc>
                                <w:tc>
                                  <w:tcPr>
                                    <w:tcW w:w="150" w:type="dxa"/>
                                    <w:vAlign w:val="center"/>
                                    <w:hideMark/>
                                  </w:tcPr>
                                  <w:p w:rsidR="00C56052" w:rsidRDefault="00C56052">
                                    <w:r>
                                      <w:t> </w:t>
                                    </w:r>
                                  </w:p>
                                </w:tc>
                              </w:tr>
                            </w:tbl>
                            <w:p w:rsidR="00C56052" w:rsidRDefault="00C56052">
                              <w:pPr>
                                <w:rPr>
                                  <w:rFonts w:asciiTheme="minorHAnsi" w:hAnsiTheme="minorHAnsi"/>
                                  <w:sz w:val="22"/>
                                  <w:szCs w:val="22"/>
                                </w:rPr>
                              </w:pPr>
                            </w:p>
                          </w:tc>
                        </w:tr>
                        <w:tr w:rsidR="00C56052">
                          <w:trPr>
                            <w:tblCellSpacing w:w="0" w:type="dxa"/>
                          </w:trPr>
                          <w:tc>
                            <w:tcPr>
                              <w:tcW w:w="0" w:type="auto"/>
                              <w:hideMark/>
                            </w:tcPr>
                            <w:p w:rsidR="00C56052" w:rsidRDefault="00C56052">
                              <w:r>
                                <w:rPr>
                                  <w:noProof/>
                                </w:rPr>
                                <w:drawing>
                                  <wp:inline distT="0" distB="0" distL="0" distR="0" wp14:anchorId="2BD39D25" wp14:editId="7040667C">
                                    <wp:extent cx="1885950" cy="1714500"/>
                                    <wp:effectExtent l="0" t="0" r="0" b="0"/>
                                    <wp:docPr id="3" name="Picture 3" descr="Image of garden hose fau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of garden hose fauce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85950" cy="1714500"/>
                                            </a:xfrm>
                                            <a:prstGeom prst="rect">
                                              <a:avLst/>
                                            </a:prstGeom>
                                            <a:noFill/>
                                            <a:ln>
                                              <a:noFill/>
                                            </a:ln>
                                          </pic:spPr>
                                        </pic:pic>
                                      </a:graphicData>
                                    </a:graphic>
                                  </wp:inline>
                                </w:drawing>
                              </w:r>
                            </w:p>
                          </w:tc>
                        </w:tr>
                      </w:tbl>
                      <w:p w:rsidR="00C56052" w:rsidRDefault="00C56052">
                        <w:pPr>
                          <w:rPr>
                            <w:rFonts w:asciiTheme="minorHAnsi" w:hAnsiTheme="minorHAnsi"/>
                            <w:sz w:val="22"/>
                            <w:szCs w:val="22"/>
                          </w:rPr>
                        </w:pPr>
                      </w:p>
                    </w:tc>
                  </w:tr>
                </w:tbl>
                <w:p w:rsidR="00C56052" w:rsidRDefault="00C56052">
                  <w:pPr>
                    <w:rPr>
                      <w:rFonts w:asciiTheme="minorHAnsi" w:hAnsiTheme="minorHAnsi"/>
                      <w:sz w:val="22"/>
                      <w:szCs w:val="22"/>
                    </w:rPr>
                  </w:pPr>
                </w:p>
              </w:tc>
            </w:tr>
          </w:tbl>
          <w:p w:rsidR="00C56052" w:rsidRDefault="00C56052">
            <w:pPr>
              <w:rPr>
                <w:rFonts w:asciiTheme="minorHAnsi" w:hAnsiTheme="minorHAnsi"/>
                <w:sz w:val="22"/>
                <w:szCs w:val="22"/>
              </w:rPr>
            </w:pPr>
          </w:p>
        </w:tc>
      </w:tr>
      <w:tr w:rsidR="00C56052" w:rsidTr="00C56052">
        <w:trPr>
          <w:trHeight w:val="300"/>
          <w:tblCellSpacing w:w="0" w:type="dxa"/>
        </w:trPr>
        <w:tc>
          <w:tcPr>
            <w:tcW w:w="0" w:type="auto"/>
            <w:vAlign w:val="center"/>
            <w:hideMark/>
          </w:tcPr>
          <w:p w:rsidR="00C56052" w:rsidRDefault="00C56052">
            <w:r>
              <w:rPr>
                <w:noProof/>
              </w:rPr>
              <w:lastRenderedPageBreak/>
              <w:drawing>
                <wp:inline distT="0" distB="0" distL="0" distR="0" wp14:anchorId="71A89F46" wp14:editId="6CF346EC">
                  <wp:extent cx="5715000" cy="190500"/>
                  <wp:effectExtent l="0" t="0" r="0" b="0"/>
                  <wp:docPr id="2" name="Picture 2" descr="http://www2.ergweb.com/listserv/Arlington/WaterSense/Images/body_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2.ergweb.com/listserv/Arlington/WaterSense/Images/body_bottom.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190500"/>
                          </a:xfrm>
                          <a:prstGeom prst="rect">
                            <a:avLst/>
                          </a:prstGeom>
                          <a:noFill/>
                          <a:ln>
                            <a:noFill/>
                          </a:ln>
                        </pic:spPr>
                      </pic:pic>
                    </a:graphicData>
                  </a:graphic>
                </wp:inline>
              </w:drawing>
            </w:r>
          </w:p>
        </w:tc>
      </w:tr>
    </w:tbl>
    <w:p w:rsidR="00C56052" w:rsidRDefault="00C56052" w:rsidP="00C56052">
      <w:r>
        <w:rPr>
          <w:noProof/>
        </w:rPr>
        <w:drawing>
          <wp:inline distT="0" distB="0" distL="0" distR="0" wp14:anchorId="4BF4CDBC" wp14:editId="098584D6">
            <wp:extent cx="9525" cy="9525"/>
            <wp:effectExtent l="0" t="0" r="0" b="0"/>
            <wp:docPr id="1" name="Picture 1" descr="http://watersense.c.goolara.net/image8117488197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atersense.c.goolara.net/image811748819759.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0"/>
    </w:p>
    <w:p w:rsidR="001C5551" w:rsidRDefault="001C5551"/>
    <w:sectPr w:rsidR="001C5551" w:rsidSect="00C56052">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52"/>
    <w:rsid w:val="001C5551"/>
    <w:rsid w:val="00C5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0707B-ED98-4DB8-AF46-B8F7D3E0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052"/>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C56052"/>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semiHidden/>
    <w:unhideWhenUsed/>
    <w:qFormat/>
    <w:rsid w:val="00C56052"/>
    <w:pPr>
      <w:spacing w:before="100" w:beforeAutospacing="1" w:after="100" w:afterAutospacing="1"/>
      <w:outlineLvl w:val="1"/>
    </w:pPr>
    <w:rPr>
      <w:rFonts w:eastAsia="Times New Roman"/>
      <w:b/>
      <w:bCs/>
      <w:sz w:val="36"/>
      <w:szCs w:val="36"/>
    </w:rPr>
  </w:style>
  <w:style w:type="paragraph" w:styleId="Heading5">
    <w:name w:val="heading 5"/>
    <w:basedOn w:val="Normal"/>
    <w:link w:val="Heading5Char"/>
    <w:uiPriority w:val="9"/>
    <w:semiHidden/>
    <w:unhideWhenUsed/>
    <w:qFormat/>
    <w:rsid w:val="00C56052"/>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0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56052"/>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semiHidden/>
    <w:rsid w:val="00C5605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56052"/>
    <w:rPr>
      <w:color w:val="0000FF"/>
      <w:u w:val="single"/>
    </w:rPr>
  </w:style>
  <w:style w:type="paragraph" w:styleId="NormalWeb">
    <w:name w:val="Normal (Web)"/>
    <w:basedOn w:val="Normal"/>
    <w:uiPriority w:val="99"/>
    <w:semiHidden/>
    <w:unhideWhenUsed/>
    <w:rsid w:val="00C56052"/>
    <w:pPr>
      <w:spacing w:before="100" w:beforeAutospacing="1" w:after="100" w:afterAutospacing="1"/>
    </w:pPr>
  </w:style>
  <w:style w:type="paragraph" w:customStyle="1" w:styleId="sidebartext">
    <w:name w:val="sidebartext"/>
    <w:basedOn w:val="Normal"/>
    <w:uiPriority w:val="99"/>
    <w:semiHidden/>
    <w:rsid w:val="00C56052"/>
    <w:pPr>
      <w:spacing w:before="100" w:beforeAutospacing="1" w:after="100" w:afterAutospacing="1"/>
    </w:pPr>
  </w:style>
  <w:style w:type="character" w:styleId="Strong">
    <w:name w:val="Strong"/>
    <w:basedOn w:val="DefaultParagraphFont"/>
    <w:uiPriority w:val="22"/>
    <w:qFormat/>
    <w:rsid w:val="00C56052"/>
    <w:rPr>
      <w:b/>
      <w:bCs/>
    </w:rPr>
  </w:style>
  <w:style w:type="character" w:styleId="Emphasis">
    <w:name w:val="Emphasis"/>
    <w:basedOn w:val="DefaultParagraphFont"/>
    <w:uiPriority w:val="20"/>
    <w:qFormat/>
    <w:rsid w:val="00C560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21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sense.c.goolara.net/Click.aspx?id=816189597" TargetMode="External"/><Relationship Id="rId13" Type="http://schemas.openxmlformats.org/officeDocument/2006/relationships/hyperlink" Target="http://watersense.c.goolara.net/Click.aspx?id=812180599" TargetMode="External"/><Relationship Id="rId18" Type="http://schemas.openxmlformats.org/officeDocument/2006/relationships/hyperlink" Target="http://watersense.c.goolara.net/Click.aspx?id=810183598"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atersense.c.goolara.net/Click.aspx?id=817180590" TargetMode="External"/><Relationship Id="rId7" Type="http://schemas.openxmlformats.org/officeDocument/2006/relationships/hyperlink" Target="http://watersense.c.goolara.net/Click.aspx?id=816189596" TargetMode="External"/><Relationship Id="rId12" Type="http://schemas.openxmlformats.org/officeDocument/2006/relationships/hyperlink" Target="mailto:watersense@epa.gov" TargetMode="External"/><Relationship Id="rId17" Type="http://schemas.openxmlformats.org/officeDocument/2006/relationships/image" Target="media/image6.gi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image" Target="media/image8.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watersense.c.goolara.net/Click.aspx?id=817180590" TargetMode="External"/><Relationship Id="rId24" Type="http://schemas.openxmlformats.org/officeDocument/2006/relationships/image" Target="media/image11.gif"/><Relationship Id="rId5" Type="http://schemas.openxmlformats.org/officeDocument/2006/relationships/image" Target="media/image2.gif"/><Relationship Id="rId15" Type="http://schemas.openxmlformats.org/officeDocument/2006/relationships/hyperlink" Target="http://watersense.c.goolara.net/Click.aspx?id=814189598" TargetMode="External"/><Relationship Id="rId23" Type="http://schemas.openxmlformats.org/officeDocument/2006/relationships/image" Target="media/image10.gif"/><Relationship Id="rId10" Type="http://schemas.openxmlformats.org/officeDocument/2006/relationships/hyperlink" Target="http://watersense.c.goolara.net/Click.aspx?id=816189599" TargetMode="External"/><Relationship Id="rId19"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hyperlink" Target="http://watersense.c.goolara.net/Click.aspx?id=816189598" TargetMode="External"/><Relationship Id="rId14" Type="http://schemas.openxmlformats.org/officeDocument/2006/relationships/image" Target="media/image4.pn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Taft</dc:creator>
  <cp:keywords/>
  <dc:description/>
  <cp:lastModifiedBy>James Taft</cp:lastModifiedBy>
  <cp:revision>1</cp:revision>
  <dcterms:created xsi:type="dcterms:W3CDTF">2015-07-28T19:08:00Z</dcterms:created>
  <dcterms:modified xsi:type="dcterms:W3CDTF">2015-07-28T19:11:00Z</dcterms:modified>
</cp:coreProperties>
</file>