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196" w:rsidRPr="00691A9B" w:rsidRDefault="00B82196" w:rsidP="00B82196">
      <w:pPr>
        <w:rPr>
          <w:b/>
        </w:rPr>
      </w:pPr>
      <w:r w:rsidRPr="00B82196">
        <w:rPr>
          <w:b/>
        </w:rPr>
        <w:t>Title:</w:t>
      </w:r>
      <w:r w:rsidRPr="00B82196">
        <w:t xml:space="preserve">  </w:t>
      </w:r>
      <w:r w:rsidRPr="00691A9B">
        <w:rPr>
          <w:b/>
        </w:rPr>
        <w:t xml:space="preserve">Virginia Watershed Program Uses </w:t>
      </w:r>
      <w:r w:rsidR="00691A9B">
        <w:rPr>
          <w:b/>
        </w:rPr>
        <w:t>Drinking Water Intake Locations</w:t>
      </w:r>
      <w:r w:rsidRPr="00691A9B">
        <w:rPr>
          <w:b/>
        </w:rPr>
        <w:t xml:space="preserve"> to Prioritize </w:t>
      </w:r>
      <w:r w:rsidR="00C80C23">
        <w:rPr>
          <w:b/>
        </w:rPr>
        <w:t xml:space="preserve">Impairments </w:t>
      </w:r>
      <w:r w:rsidR="00622FBB">
        <w:rPr>
          <w:b/>
        </w:rPr>
        <w:t xml:space="preserve">for </w:t>
      </w:r>
      <w:r w:rsidRPr="00691A9B">
        <w:rPr>
          <w:b/>
        </w:rPr>
        <w:t xml:space="preserve">TMDL Development </w:t>
      </w:r>
    </w:p>
    <w:p w:rsidR="00B82196" w:rsidRPr="00B82196" w:rsidRDefault="00B82196" w:rsidP="00B82196">
      <w:pPr>
        <w:shd w:val="clear" w:color="auto" w:fill="FFFFFF"/>
        <w:rPr>
          <w:rFonts w:ascii="Times New Roman" w:eastAsia="Times New Roman" w:hAnsi="Times New Roman" w:cs="Times New Roman"/>
          <w:color w:val="222222"/>
          <w:sz w:val="24"/>
          <w:szCs w:val="24"/>
        </w:rPr>
      </w:pPr>
    </w:p>
    <w:p w:rsidR="00B82196" w:rsidRPr="00B82196" w:rsidRDefault="00B82196" w:rsidP="00B82196">
      <w:pPr>
        <w:rPr>
          <w:b/>
        </w:rPr>
      </w:pPr>
      <w:r w:rsidRPr="00B82196">
        <w:rPr>
          <w:b/>
        </w:rPr>
        <w:t>Contact</w:t>
      </w:r>
      <w:r w:rsidR="003709EC">
        <w:rPr>
          <w:b/>
        </w:rPr>
        <w:t xml:space="preserve"> Information</w:t>
      </w:r>
      <w:r w:rsidRPr="00B82196">
        <w:rPr>
          <w:b/>
        </w:rPr>
        <w:t>:</w:t>
      </w:r>
    </w:p>
    <w:p w:rsidR="00B82196" w:rsidRPr="00B82196" w:rsidRDefault="00B82196" w:rsidP="00B82196">
      <w:r w:rsidRPr="00B82196">
        <w:t>Will Isenberg</w:t>
      </w:r>
    </w:p>
    <w:p w:rsidR="00B82196" w:rsidRPr="00B82196" w:rsidRDefault="00B82196" w:rsidP="00B82196">
      <w:r w:rsidRPr="00B82196">
        <w:t>Office of Watershed Programs &amp; Office of Ecology</w:t>
      </w:r>
    </w:p>
    <w:p w:rsidR="00B82196" w:rsidRPr="00B82196" w:rsidRDefault="00B82196" w:rsidP="00B82196">
      <w:r w:rsidRPr="00B82196">
        <w:t>Virginia Department of Environmental Quality</w:t>
      </w:r>
      <w:r w:rsidR="00DF7FED">
        <w:t xml:space="preserve"> (DEQ)</w:t>
      </w:r>
    </w:p>
    <w:p w:rsidR="00B82196" w:rsidRPr="00B82196" w:rsidRDefault="00B82196" w:rsidP="00B82196">
      <w:r w:rsidRPr="00B82196">
        <w:t>(804) 698-4228</w:t>
      </w:r>
    </w:p>
    <w:p w:rsidR="00B82196" w:rsidRPr="00B82196" w:rsidRDefault="00C309FB" w:rsidP="00B82196">
      <w:hyperlink r:id="rId6" w:tgtFrame="_blank" w:history="1">
        <w:r w:rsidR="00B82196" w:rsidRPr="00B82196">
          <w:rPr>
            <w:rStyle w:val="Hyperlink"/>
          </w:rPr>
          <w:t>William.Isenberg@DEQ.Virginia.gov</w:t>
        </w:r>
      </w:hyperlink>
    </w:p>
    <w:p w:rsidR="00B82196" w:rsidRDefault="00B82196" w:rsidP="00C55631">
      <w:pPr>
        <w:shd w:val="clear" w:color="auto" w:fill="FFFFFF"/>
        <w:rPr>
          <w:rFonts w:ascii="Calibri" w:eastAsia="Times New Roman" w:hAnsi="Calibri" w:cs="Times New Roman"/>
          <w:color w:val="1F497D"/>
        </w:rPr>
      </w:pPr>
    </w:p>
    <w:p w:rsidR="00DF7FED" w:rsidRDefault="003709EC" w:rsidP="00DF7FED">
      <w:pPr>
        <w:shd w:val="clear" w:color="auto" w:fill="FFFFFF"/>
      </w:pPr>
      <w:r>
        <w:rPr>
          <w:b/>
        </w:rPr>
        <w:t>Departments/Programs</w:t>
      </w:r>
      <w:r w:rsidR="00DF7FED">
        <w:rPr>
          <w:b/>
        </w:rPr>
        <w:t xml:space="preserve"> Involved:  </w:t>
      </w:r>
      <w:r w:rsidR="00DF7FED" w:rsidRPr="00DF7FED">
        <w:t>Virginia DEQ</w:t>
      </w:r>
    </w:p>
    <w:p w:rsidR="00D742A6" w:rsidRDefault="00D742A6" w:rsidP="00DF7FED">
      <w:pPr>
        <w:shd w:val="clear" w:color="auto" w:fill="FFFFFF"/>
        <w:rPr>
          <w:b/>
        </w:rPr>
      </w:pPr>
    </w:p>
    <w:p w:rsidR="00A31594" w:rsidRPr="00A31594" w:rsidRDefault="00DF7FED" w:rsidP="00DF7FED">
      <w:pPr>
        <w:shd w:val="clear" w:color="auto" w:fill="FFFFFF"/>
      </w:pPr>
      <w:r w:rsidRPr="00A31594">
        <w:rPr>
          <w:b/>
        </w:rPr>
        <w:t>Actions:</w:t>
      </w:r>
      <w:r w:rsidRPr="00A31594">
        <w:t xml:space="preserve">  </w:t>
      </w:r>
      <w:r w:rsidR="00EC1146" w:rsidRPr="0015058A">
        <w:rPr>
          <w:rFonts w:ascii="Calibri" w:hAnsi="Calibri"/>
          <w:shd w:val="clear" w:color="auto" w:fill="FFFFFF"/>
        </w:rPr>
        <w:t>The</w:t>
      </w:r>
      <w:r w:rsidR="004F7EC6" w:rsidRPr="0015058A">
        <w:rPr>
          <w:rFonts w:ascii="Calibri" w:hAnsi="Calibri"/>
          <w:shd w:val="clear" w:color="auto" w:fill="FFFFFF"/>
        </w:rPr>
        <w:t xml:space="preserve"> Virginia DEQ used </w:t>
      </w:r>
      <w:r w:rsidR="008909FB" w:rsidRPr="0015058A">
        <w:rPr>
          <w:rFonts w:ascii="Calibri" w:hAnsi="Calibri"/>
          <w:shd w:val="clear" w:color="auto" w:fill="FFFFFF"/>
        </w:rPr>
        <w:t>public water system</w:t>
      </w:r>
      <w:r w:rsidR="000B5ED7" w:rsidRPr="0015058A">
        <w:rPr>
          <w:rFonts w:ascii="Calibri" w:hAnsi="Calibri"/>
          <w:shd w:val="clear" w:color="auto" w:fill="FFFFFF"/>
        </w:rPr>
        <w:t xml:space="preserve"> (PWS)</w:t>
      </w:r>
      <w:r w:rsidR="004F7EC6" w:rsidRPr="0015058A">
        <w:rPr>
          <w:rFonts w:ascii="Calibri" w:hAnsi="Calibri"/>
          <w:shd w:val="clear" w:color="auto" w:fill="FFFFFF"/>
        </w:rPr>
        <w:t xml:space="preserve"> intake locations</w:t>
      </w:r>
      <w:r w:rsidR="00EC1146" w:rsidRPr="0015058A">
        <w:rPr>
          <w:rFonts w:ascii="Calibri" w:hAnsi="Calibri"/>
          <w:shd w:val="clear" w:color="auto" w:fill="FFFFFF"/>
        </w:rPr>
        <w:t xml:space="preserve"> (via a GIS map layer)</w:t>
      </w:r>
      <w:r w:rsidR="004F7EC6" w:rsidRPr="0015058A">
        <w:rPr>
          <w:rFonts w:ascii="Calibri" w:hAnsi="Calibri"/>
          <w:shd w:val="clear" w:color="auto" w:fill="FFFFFF"/>
        </w:rPr>
        <w:t xml:space="preserve"> </w:t>
      </w:r>
      <w:r w:rsidR="00622FBB">
        <w:rPr>
          <w:rFonts w:ascii="Calibri" w:hAnsi="Calibri"/>
          <w:shd w:val="clear" w:color="auto" w:fill="FFFFFF"/>
        </w:rPr>
        <w:t xml:space="preserve">to prioritize </w:t>
      </w:r>
      <w:r w:rsidR="00D70C55" w:rsidRPr="0015058A">
        <w:rPr>
          <w:rFonts w:ascii="Calibri" w:hAnsi="Calibri"/>
          <w:shd w:val="clear" w:color="auto" w:fill="FFFFFF"/>
        </w:rPr>
        <w:t xml:space="preserve">impaired waters </w:t>
      </w:r>
      <w:r w:rsidR="00622FBB">
        <w:rPr>
          <w:rFonts w:ascii="Calibri" w:hAnsi="Calibri"/>
          <w:shd w:val="clear" w:color="auto" w:fill="FFFFFF"/>
        </w:rPr>
        <w:t>for the development of</w:t>
      </w:r>
      <w:r w:rsidR="004F7EC6" w:rsidRPr="0015058A">
        <w:rPr>
          <w:rFonts w:ascii="Calibri" w:hAnsi="Calibri"/>
          <w:shd w:val="clear" w:color="auto" w:fill="FFFFFF"/>
        </w:rPr>
        <w:t xml:space="preserve"> T</w:t>
      </w:r>
      <w:r w:rsidR="00622FBB">
        <w:rPr>
          <w:rFonts w:ascii="Calibri" w:hAnsi="Calibri"/>
          <w:shd w:val="clear" w:color="auto" w:fill="FFFFFF"/>
        </w:rPr>
        <w:t>otal Maximum Daily Loads (T</w:t>
      </w:r>
      <w:r w:rsidR="004F7EC6" w:rsidRPr="0015058A">
        <w:rPr>
          <w:rFonts w:ascii="Calibri" w:hAnsi="Calibri"/>
          <w:shd w:val="clear" w:color="auto" w:fill="FFFFFF"/>
        </w:rPr>
        <w:t>MDLs</w:t>
      </w:r>
      <w:r w:rsidR="00622FBB">
        <w:rPr>
          <w:rFonts w:ascii="Calibri" w:hAnsi="Calibri"/>
          <w:shd w:val="clear" w:color="auto" w:fill="FFFFFF"/>
        </w:rPr>
        <w:t>)</w:t>
      </w:r>
      <w:r>
        <w:rPr>
          <w:rFonts w:ascii="Calibri" w:hAnsi="Calibri"/>
          <w:shd w:val="clear" w:color="auto" w:fill="FFFFFF"/>
        </w:rPr>
        <w:t xml:space="preserve">.  </w:t>
      </w:r>
      <w:r w:rsidR="00EC1146" w:rsidRPr="00A31594">
        <w:t xml:space="preserve">Virginia’s </w:t>
      </w:r>
      <w:r w:rsidR="00B05A79" w:rsidRPr="00A31594">
        <w:t>priority setting</w:t>
      </w:r>
      <w:r w:rsidR="00C55631" w:rsidRPr="00A31594">
        <w:t xml:space="preserve"> process </w:t>
      </w:r>
      <w:r w:rsidR="00A31594" w:rsidRPr="00A31594">
        <w:t>began by taking a broad look at designated use</w:t>
      </w:r>
      <w:r w:rsidR="00C55631" w:rsidRPr="00A31594">
        <w:t xml:space="preserve"> impairments statewide, and </w:t>
      </w:r>
      <w:r w:rsidR="00C80C23" w:rsidRPr="00A31594">
        <w:t xml:space="preserve">initially </w:t>
      </w:r>
      <w:r w:rsidR="00C55631" w:rsidRPr="00A31594">
        <w:t xml:space="preserve">prioritizing them </w:t>
      </w:r>
      <w:r w:rsidR="0015058A" w:rsidRPr="00A31594">
        <w:t xml:space="preserve">for TMDL development </w:t>
      </w:r>
      <w:r w:rsidR="00C55631" w:rsidRPr="00A31594">
        <w:t>using spatial criteria</w:t>
      </w:r>
      <w:r w:rsidR="00A31594" w:rsidRPr="00A31594">
        <w:t>, as well as</w:t>
      </w:r>
      <w:r w:rsidR="00C55631" w:rsidRPr="00A31594">
        <w:t xml:space="preserve"> their proximity to public water supply int</w:t>
      </w:r>
      <w:r w:rsidR="00B05A79" w:rsidRPr="00A31594">
        <w:t>akes.  Therefore</w:t>
      </w:r>
      <w:r w:rsidR="00C55631" w:rsidRPr="00A31594">
        <w:t xml:space="preserve">, if a recreational use, </w:t>
      </w:r>
      <w:proofErr w:type="spellStart"/>
      <w:r w:rsidR="00C55631" w:rsidRPr="00A31594">
        <w:t>shellfishing</w:t>
      </w:r>
      <w:proofErr w:type="spellEnd"/>
      <w:r w:rsidR="00C55631" w:rsidRPr="00A31594">
        <w:t xml:space="preserve"> use, or aquat</w:t>
      </w:r>
      <w:r w:rsidR="000B5ED7" w:rsidRPr="00A31594">
        <w:t xml:space="preserve">ic life use impairment </w:t>
      </w:r>
      <w:r w:rsidR="009F2449">
        <w:t xml:space="preserve">was within proximity to potentially impact </w:t>
      </w:r>
      <w:r w:rsidR="00D049DE">
        <w:t>a</w:t>
      </w:r>
      <w:r w:rsidR="00D049DE" w:rsidRPr="00A31594">
        <w:t xml:space="preserve"> </w:t>
      </w:r>
      <w:r w:rsidR="008909FB" w:rsidRPr="00A31594">
        <w:t>PWS intake</w:t>
      </w:r>
      <w:r w:rsidR="00C55631" w:rsidRPr="00A31594">
        <w:t xml:space="preserve">, then it was </w:t>
      </w:r>
      <w:r w:rsidR="00FB21EB" w:rsidRPr="00A31594">
        <w:t>ranked at the top of the priority list</w:t>
      </w:r>
      <w:r w:rsidR="00C55631" w:rsidRPr="00A31594">
        <w:t xml:space="preserve">.  After </w:t>
      </w:r>
      <w:r w:rsidR="00FB21EB" w:rsidRPr="00A31594">
        <w:t>this</w:t>
      </w:r>
      <w:r w:rsidR="00BB6AD4" w:rsidRPr="00A31594">
        <w:t xml:space="preserve"> first</w:t>
      </w:r>
      <w:r w:rsidR="00FB21EB" w:rsidRPr="00A31594">
        <w:t xml:space="preserve"> list</w:t>
      </w:r>
      <w:r w:rsidR="00BB6AD4" w:rsidRPr="00A31594">
        <w:t xml:space="preserve"> of</w:t>
      </w:r>
      <w:r w:rsidR="00C55631" w:rsidRPr="00A31594">
        <w:t xml:space="preserve"> </w:t>
      </w:r>
      <w:r w:rsidR="00BB6AD4" w:rsidRPr="00A31594">
        <w:t>priorities was</w:t>
      </w:r>
      <w:r w:rsidR="00C55631" w:rsidRPr="00A31594">
        <w:t xml:space="preserve"> assembled, </w:t>
      </w:r>
      <w:r w:rsidR="00FB21EB" w:rsidRPr="00A31594">
        <w:t>then other ranking determinations were made using spatial criteria to identify additional overlapping priorities</w:t>
      </w:r>
      <w:r w:rsidR="00C55631" w:rsidRPr="00A31594">
        <w:t>, and by practical considerations such as the severity of the impairment, the age of the impaired status, existing monitoring plans, watershed characteristics, and stakeholder participation.</w:t>
      </w:r>
      <w:r>
        <w:t xml:space="preserve">  Thirty-seven of Virginia’s </w:t>
      </w:r>
      <w:r w:rsidR="00FD64F7">
        <w:t>water quality</w:t>
      </w:r>
      <w:r>
        <w:t xml:space="preserve"> impairments (out of a total of 919 impairments for all uses) are now at the top of the state’s priority list as a result of this ranking process.</w:t>
      </w:r>
    </w:p>
    <w:p w:rsidR="00A31594" w:rsidRPr="00A31594" w:rsidRDefault="00A31594" w:rsidP="00A31594"/>
    <w:p w:rsidR="00A31594" w:rsidRPr="00A31594" w:rsidRDefault="00FB3CFB" w:rsidP="00A31594">
      <w:r>
        <w:t>For reference, w</w:t>
      </w:r>
      <w:r w:rsidR="00A31594" w:rsidRPr="00A31594">
        <w:t xml:space="preserve">hile Virginia lacks numeric nutrient criteria to assess the aquatic life designated use for flowing or estuarine waters, it does have a numeric Nitrate criterion of 10 mg/L for any waters with a public water supply designated use (i.e., waters that are within five miles of a PWS intake).  In addition, Virginia’s recreational and </w:t>
      </w:r>
      <w:proofErr w:type="spellStart"/>
      <w:r w:rsidR="00A31594" w:rsidRPr="00A31594">
        <w:t>shellfishing</w:t>
      </w:r>
      <w:proofErr w:type="spellEnd"/>
      <w:r w:rsidR="00A31594" w:rsidRPr="00A31594">
        <w:t xml:space="preserve"> use impairments are caused by excessive amounts of bacteria </w:t>
      </w:r>
      <w:r w:rsidR="00292774">
        <w:t>that</w:t>
      </w:r>
      <w:r w:rsidR="00354C54">
        <w:t xml:space="preserve"> are sometimes associated with other microorganisms (e.g., cryptosporidium) that could </w:t>
      </w:r>
      <w:r w:rsidR="00292774">
        <w:t xml:space="preserve">impact drinking water </w:t>
      </w:r>
      <w:r>
        <w:t>treatment processes.</w:t>
      </w:r>
    </w:p>
    <w:p w:rsidR="00383195" w:rsidRPr="00C55631" w:rsidRDefault="00383195" w:rsidP="00C55631">
      <w:pPr>
        <w:shd w:val="clear" w:color="auto" w:fill="FFFFFF"/>
        <w:rPr>
          <w:rFonts w:ascii="Times New Roman" w:eastAsia="Times New Roman" w:hAnsi="Times New Roman" w:cs="Times New Roman"/>
          <w:color w:val="222222"/>
          <w:sz w:val="24"/>
          <w:szCs w:val="24"/>
        </w:rPr>
      </w:pPr>
    </w:p>
    <w:p w:rsidR="00A31594" w:rsidRDefault="00A31594" w:rsidP="00A31594">
      <w:pPr>
        <w:shd w:val="clear" w:color="auto" w:fill="FFFFFF"/>
        <w:rPr>
          <w:rFonts w:ascii="Calibri" w:hAnsi="Calibri"/>
          <w:shd w:val="clear" w:color="auto" w:fill="FFFFFF"/>
        </w:rPr>
      </w:pPr>
      <w:r w:rsidRPr="00A31594">
        <w:rPr>
          <w:rFonts w:ascii="Calibri" w:hAnsi="Calibri"/>
          <w:b/>
          <w:shd w:val="clear" w:color="auto" w:fill="FFFFFF"/>
        </w:rPr>
        <w:t>Results:</w:t>
      </w:r>
      <w:r>
        <w:rPr>
          <w:rFonts w:ascii="Calibri" w:hAnsi="Calibri"/>
          <w:shd w:val="clear" w:color="auto" w:fill="FFFFFF"/>
        </w:rPr>
        <w:t xml:space="preserve">  These TMDLs are expected to help improve the efficiency of </w:t>
      </w:r>
      <w:r w:rsidRPr="0015058A">
        <w:rPr>
          <w:rFonts w:ascii="Calibri" w:hAnsi="Calibri"/>
          <w:shd w:val="clear" w:color="auto" w:fill="FFFFFF"/>
        </w:rPr>
        <w:t>public water supply treatment</w:t>
      </w:r>
      <w:r>
        <w:rPr>
          <w:rFonts w:ascii="Calibri" w:hAnsi="Calibri"/>
          <w:shd w:val="clear" w:color="auto" w:fill="FFFFFF"/>
        </w:rPr>
        <w:t xml:space="preserve"> processes in the future by prescribing</w:t>
      </w:r>
      <w:r w:rsidRPr="0015058A">
        <w:rPr>
          <w:rFonts w:ascii="Calibri" w:hAnsi="Calibri"/>
          <w:shd w:val="clear" w:color="auto" w:fill="FFFFFF"/>
        </w:rPr>
        <w:t xml:space="preserve"> load reductions for bacteria, nutrients, and sediment</w:t>
      </w:r>
      <w:r>
        <w:rPr>
          <w:rFonts w:ascii="Calibri" w:hAnsi="Calibri"/>
          <w:shd w:val="clear" w:color="auto" w:fill="FFFFFF"/>
        </w:rPr>
        <w:t>.</w:t>
      </w:r>
      <w:r w:rsidR="00DF7FED">
        <w:rPr>
          <w:rFonts w:ascii="Calibri" w:hAnsi="Calibri"/>
          <w:shd w:val="clear" w:color="auto" w:fill="FFFFFF"/>
        </w:rPr>
        <w:t xml:space="preserve">  At this time, Virginia has begun the standard data collection process for each of the 37 wate</w:t>
      </w:r>
      <w:r w:rsidR="00292774">
        <w:rPr>
          <w:rFonts w:ascii="Calibri" w:hAnsi="Calibri"/>
          <w:shd w:val="clear" w:color="auto" w:fill="FFFFFF"/>
        </w:rPr>
        <w:t xml:space="preserve">rs with public water supply use impairments on </w:t>
      </w:r>
      <w:r w:rsidR="00FB3CFB">
        <w:rPr>
          <w:rFonts w:ascii="Calibri" w:hAnsi="Calibri"/>
          <w:shd w:val="clear" w:color="auto" w:fill="FFFFFF"/>
        </w:rPr>
        <w:t>their</w:t>
      </w:r>
      <w:r w:rsidR="00292774">
        <w:rPr>
          <w:rFonts w:ascii="Calibri" w:hAnsi="Calibri"/>
          <w:shd w:val="clear" w:color="auto" w:fill="FFFFFF"/>
        </w:rPr>
        <w:t xml:space="preserve"> priority list.  They hope to begin development of the TMDLs for these waters starting in 2017. </w:t>
      </w:r>
    </w:p>
    <w:p w:rsidR="00FB3CFB" w:rsidRDefault="00FB3CFB" w:rsidP="00A31594">
      <w:pPr>
        <w:shd w:val="clear" w:color="auto" w:fill="FFFFFF"/>
        <w:rPr>
          <w:rFonts w:ascii="Calibri" w:hAnsi="Calibri"/>
          <w:shd w:val="clear" w:color="auto" w:fill="FFFFFF"/>
        </w:rPr>
      </w:pPr>
    </w:p>
    <w:p w:rsidR="00FB3CFB" w:rsidRPr="00C55631" w:rsidRDefault="00D020B8" w:rsidP="00A31594">
      <w:pPr>
        <w:shd w:val="clear" w:color="auto" w:fill="FFFFFF"/>
        <w:rPr>
          <w:rFonts w:ascii="Times New Roman" w:eastAsia="Times New Roman" w:hAnsi="Times New Roman" w:cs="Times New Roman"/>
          <w:color w:val="222222"/>
          <w:sz w:val="24"/>
          <w:szCs w:val="24"/>
        </w:rPr>
      </w:pPr>
      <w:r>
        <w:rPr>
          <w:b/>
        </w:rPr>
        <w:t>Federal</w:t>
      </w:r>
      <w:r>
        <w:rPr>
          <w:b/>
        </w:rPr>
        <w:t>/state guidance/tools/funding</w:t>
      </w:r>
      <w:r w:rsidR="00FB3CFB">
        <w:rPr>
          <w:b/>
        </w:rPr>
        <w:t xml:space="preserve">:  </w:t>
      </w:r>
      <w:hyperlink r:id="rId7" w:history="1">
        <w:r w:rsidR="00F30621" w:rsidRPr="00F30621">
          <w:rPr>
            <w:rStyle w:val="Hyperlink"/>
          </w:rPr>
          <w:t>A Long-Term Vision for Assessment, Restoration, and Protection under the Clean Water Act Section 303(d) Program</w:t>
        </w:r>
      </w:hyperlink>
      <w:r w:rsidR="00F30621">
        <w:t>:  The document specifically includes “SDWA” programs in its integration goal statement as follows.  “Integration:  By 2016, EPA and the States (will) identify and coordinate implementation of key point source and nonpoint source control actions that foster effective integration across CWA programs, other statutory programs (e.g., CERCLA, RCRA, SDWA, CAA), and the water quality efforts of other Federal departments and agencies (e.g., Agriculture, Interior, Commerce) to achieve the water quality</w:t>
      </w:r>
      <w:bookmarkStart w:id="0" w:name="_GoBack"/>
      <w:bookmarkEnd w:id="0"/>
      <w:r w:rsidR="00F30621">
        <w:t xml:space="preserve"> goals of each state.”</w:t>
      </w:r>
    </w:p>
    <w:sectPr w:rsidR="00FB3CFB" w:rsidRPr="00C55631" w:rsidSect="006824B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9FB" w:rsidRDefault="00C309FB" w:rsidP="00B82196">
      <w:r>
        <w:separator/>
      </w:r>
    </w:p>
  </w:endnote>
  <w:endnote w:type="continuationSeparator" w:id="0">
    <w:p w:rsidR="00C309FB" w:rsidRDefault="00C309FB" w:rsidP="00B8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31" w:rsidRDefault="00077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31" w:rsidRDefault="00077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31" w:rsidRDefault="00077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9FB" w:rsidRDefault="00C309FB" w:rsidP="00B82196">
      <w:r>
        <w:separator/>
      </w:r>
    </w:p>
  </w:footnote>
  <w:footnote w:type="continuationSeparator" w:id="0">
    <w:p w:rsidR="00C309FB" w:rsidRDefault="00C309FB" w:rsidP="00B82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31" w:rsidRDefault="00077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196" w:rsidRDefault="00B82196" w:rsidP="00B82196">
    <w:pPr>
      <w:jc w:val="center"/>
    </w:pPr>
    <w:r w:rsidRPr="00F01F5E">
      <w:t>Clean Water Act/Safe Drinking Water Act Collaboration</w:t>
    </w:r>
  </w:p>
  <w:p w:rsidR="00B82196" w:rsidRPr="00F01F5E" w:rsidRDefault="00B82196" w:rsidP="00B82196">
    <w:pPr>
      <w:jc w:val="center"/>
    </w:pPr>
    <w:r>
      <w:rPr>
        <w:rFonts w:cstheme="minorHAnsi"/>
      </w:rPr>
      <w:t>Case Study</w:t>
    </w:r>
  </w:p>
  <w:p w:rsidR="00B82196" w:rsidRDefault="00B821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31" w:rsidRDefault="00077C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31"/>
    <w:rsid w:val="00077C31"/>
    <w:rsid w:val="000B5ED7"/>
    <w:rsid w:val="00110B5F"/>
    <w:rsid w:val="0015058A"/>
    <w:rsid w:val="00292774"/>
    <w:rsid w:val="00354C54"/>
    <w:rsid w:val="003709EC"/>
    <w:rsid w:val="00383195"/>
    <w:rsid w:val="00405698"/>
    <w:rsid w:val="004B359C"/>
    <w:rsid w:val="004E7136"/>
    <w:rsid w:val="004F7EC6"/>
    <w:rsid w:val="005538E0"/>
    <w:rsid w:val="00565FEB"/>
    <w:rsid w:val="005D692A"/>
    <w:rsid w:val="00622FBB"/>
    <w:rsid w:val="006643C3"/>
    <w:rsid w:val="006824BE"/>
    <w:rsid w:val="006871A6"/>
    <w:rsid w:val="00691A9B"/>
    <w:rsid w:val="00724400"/>
    <w:rsid w:val="00754CDE"/>
    <w:rsid w:val="0080777B"/>
    <w:rsid w:val="0083231C"/>
    <w:rsid w:val="008909FB"/>
    <w:rsid w:val="008C6B81"/>
    <w:rsid w:val="008E64E6"/>
    <w:rsid w:val="009F2449"/>
    <w:rsid w:val="00A02E53"/>
    <w:rsid w:val="00A13847"/>
    <w:rsid w:val="00A31594"/>
    <w:rsid w:val="00A512F0"/>
    <w:rsid w:val="00B05A79"/>
    <w:rsid w:val="00B82196"/>
    <w:rsid w:val="00BB6AD4"/>
    <w:rsid w:val="00C309FB"/>
    <w:rsid w:val="00C55631"/>
    <w:rsid w:val="00C80C23"/>
    <w:rsid w:val="00D020B8"/>
    <w:rsid w:val="00D049DE"/>
    <w:rsid w:val="00D70C55"/>
    <w:rsid w:val="00D742A6"/>
    <w:rsid w:val="00DF7FED"/>
    <w:rsid w:val="00E16843"/>
    <w:rsid w:val="00EB45A8"/>
    <w:rsid w:val="00EC1146"/>
    <w:rsid w:val="00F30621"/>
    <w:rsid w:val="00FB21EB"/>
    <w:rsid w:val="00FB3CFB"/>
    <w:rsid w:val="00FD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F0B407-CC75-40BA-A465-F276DDF0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BE"/>
  </w:style>
  <w:style w:type="paragraph" w:styleId="Heading3">
    <w:name w:val="heading 3"/>
    <w:basedOn w:val="Normal"/>
    <w:link w:val="Heading3Char"/>
    <w:uiPriority w:val="9"/>
    <w:qFormat/>
    <w:rsid w:val="00C5563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5631"/>
    <w:rPr>
      <w:rFonts w:ascii="Times New Roman" w:eastAsia="Times New Roman" w:hAnsi="Times New Roman" w:cs="Times New Roman"/>
      <w:b/>
      <w:bCs/>
      <w:sz w:val="27"/>
      <w:szCs w:val="27"/>
    </w:rPr>
  </w:style>
  <w:style w:type="character" w:customStyle="1" w:styleId="gd">
    <w:name w:val="gd"/>
    <w:basedOn w:val="DefaultParagraphFont"/>
    <w:rsid w:val="00C55631"/>
  </w:style>
  <w:style w:type="character" w:customStyle="1" w:styleId="g3">
    <w:name w:val="g3"/>
    <w:basedOn w:val="DefaultParagraphFont"/>
    <w:rsid w:val="00C55631"/>
  </w:style>
  <w:style w:type="character" w:customStyle="1" w:styleId="hb">
    <w:name w:val="hb"/>
    <w:basedOn w:val="DefaultParagraphFont"/>
    <w:rsid w:val="00C55631"/>
  </w:style>
  <w:style w:type="character" w:customStyle="1" w:styleId="apple-converted-space">
    <w:name w:val="apple-converted-space"/>
    <w:basedOn w:val="DefaultParagraphFont"/>
    <w:rsid w:val="00C55631"/>
  </w:style>
  <w:style w:type="character" w:customStyle="1" w:styleId="g2">
    <w:name w:val="g2"/>
    <w:basedOn w:val="DefaultParagraphFont"/>
    <w:rsid w:val="00C55631"/>
  </w:style>
  <w:style w:type="character" w:customStyle="1" w:styleId="aqj">
    <w:name w:val="aqj"/>
    <w:basedOn w:val="DefaultParagraphFont"/>
    <w:rsid w:val="00C55631"/>
  </w:style>
  <w:style w:type="character" w:styleId="Hyperlink">
    <w:name w:val="Hyperlink"/>
    <w:basedOn w:val="DefaultParagraphFont"/>
    <w:uiPriority w:val="99"/>
    <w:unhideWhenUsed/>
    <w:rsid w:val="00C55631"/>
    <w:rPr>
      <w:color w:val="0000FF"/>
      <w:u w:val="single"/>
    </w:rPr>
  </w:style>
  <w:style w:type="paragraph" w:styleId="Header">
    <w:name w:val="header"/>
    <w:basedOn w:val="Normal"/>
    <w:link w:val="HeaderChar"/>
    <w:uiPriority w:val="99"/>
    <w:unhideWhenUsed/>
    <w:rsid w:val="00B82196"/>
    <w:pPr>
      <w:tabs>
        <w:tab w:val="center" w:pos="4680"/>
        <w:tab w:val="right" w:pos="9360"/>
      </w:tabs>
    </w:pPr>
  </w:style>
  <w:style w:type="character" w:customStyle="1" w:styleId="HeaderChar">
    <w:name w:val="Header Char"/>
    <w:basedOn w:val="DefaultParagraphFont"/>
    <w:link w:val="Header"/>
    <w:uiPriority w:val="99"/>
    <w:rsid w:val="00B82196"/>
  </w:style>
  <w:style w:type="paragraph" w:styleId="Footer">
    <w:name w:val="footer"/>
    <w:basedOn w:val="Normal"/>
    <w:link w:val="FooterChar"/>
    <w:uiPriority w:val="99"/>
    <w:unhideWhenUsed/>
    <w:rsid w:val="00B82196"/>
    <w:pPr>
      <w:tabs>
        <w:tab w:val="center" w:pos="4680"/>
        <w:tab w:val="right" w:pos="9360"/>
      </w:tabs>
    </w:pPr>
  </w:style>
  <w:style w:type="character" w:customStyle="1" w:styleId="FooterChar">
    <w:name w:val="Footer Char"/>
    <w:basedOn w:val="DefaultParagraphFont"/>
    <w:link w:val="Footer"/>
    <w:uiPriority w:val="99"/>
    <w:rsid w:val="00B82196"/>
  </w:style>
  <w:style w:type="character" w:styleId="CommentReference">
    <w:name w:val="annotation reference"/>
    <w:basedOn w:val="DefaultParagraphFont"/>
    <w:uiPriority w:val="99"/>
    <w:semiHidden/>
    <w:unhideWhenUsed/>
    <w:rsid w:val="006643C3"/>
    <w:rPr>
      <w:sz w:val="16"/>
      <w:szCs w:val="16"/>
    </w:rPr>
  </w:style>
  <w:style w:type="paragraph" w:styleId="CommentText">
    <w:name w:val="annotation text"/>
    <w:basedOn w:val="Normal"/>
    <w:link w:val="CommentTextChar"/>
    <w:uiPriority w:val="99"/>
    <w:semiHidden/>
    <w:unhideWhenUsed/>
    <w:rsid w:val="006643C3"/>
    <w:rPr>
      <w:sz w:val="20"/>
      <w:szCs w:val="20"/>
    </w:rPr>
  </w:style>
  <w:style w:type="character" w:customStyle="1" w:styleId="CommentTextChar">
    <w:name w:val="Comment Text Char"/>
    <w:basedOn w:val="DefaultParagraphFont"/>
    <w:link w:val="CommentText"/>
    <w:uiPriority w:val="99"/>
    <w:semiHidden/>
    <w:rsid w:val="006643C3"/>
    <w:rPr>
      <w:sz w:val="20"/>
      <w:szCs w:val="20"/>
    </w:rPr>
  </w:style>
  <w:style w:type="paragraph" w:styleId="CommentSubject">
    <w:name w:val="annotation subject"/>
    <w:basedOn w:val="CommentText"/>
    <w:next w:val="CommentText"/>
    <w:link w:val="CommentSubjectChar"/>
    <w:uiPriority w:val="99"/>
    <w:semiHidden/>
    <w:unhideWhenUsed/>
    <w:rsid w:val="006643C3"/>
    <w:rPr>
      <w:b/>
      <w:bCs/>
    </w:rPr>
  </w:style>
  <w:style w:type="character" w:customStyle="1" w:styleId="CommentSubjectChar">
    <w:name w:val="Comment Subject Char"/>
    <w:basedOn w:val="CommentTextChar"/>
    <w:link w:val="CommentSubject"/>
    <w:uiPriority w:val="99"/>
    <w:semiHidden/>
    <w:rsid w:val="006643C3"/>
    <w:rPr>
      <w:b/>
      <w:bCs/>
      <w:sz w:val="20"/>
      <w:szCs w:val="20"/>
    </w:rPr>
  </w:style>
  <w:style w:type="paragraph" w:styleId="BalloonText">
    <w:name w:val="Balloon Text"/>
    <w:basedOn w:val="Normal"/>
    <w:link w:val="BalloonTextChar"/>
    <w:uiPriority w:val="99"/>
    <w:semiHidden/>
    <w:unhideWhenUsed/>
    <w:rsid w:val="006643C3"/>
    <w:rPr>
      <w:rFonts w:ascii="Tahoma" w:hAnsi="Tahoma" w:cs="Tahoma"/>
      <w:sz w:val="16"/>
      <w:szCs w:val="16"/>
    </w:rPr>
  </w:style>
  <w:style w:type="character" w:customStyle="1" w:styleId="BalloonTextChar">
    <w:name w:val="Balloon Text Char"/>
    <w:basedOn w:val="DefaultParagraphFont"/>
    <w:link w:val="BalloonText"/>
    <w:uiPriority w:val="99"/>
    <w:semiHidden/>
    <w:rsid w:val="006643C3"/>
    <w:rPr>
      <w:rFonts w:ascii="Tahoma" w:hAnsi="Tahoma" w:cs="Tahoma"/>
      <w:sz w:val="16"/>
      <w:szCs w:val="16"/>
    </w:rPr>
  </w:style>
  <w:style w:type="paragraph" w:styleId="Revision">
    <w:name w:val="Revision"/>
    <w:hidden/>
    <w:uiPriority w:val="99"/>
    <w:semiHidden/>
    <w:rsid w:val="00D04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88395">
      <w:bodyDiv w:val="1"/>
      <w:marLeft w:val="0"/>
      <w:marRight w:val="0"/>
      <w:marTop w:val="0"/>
      <w:marBottom w:val="0"/>
      <w:divBdr>
        <w:top w:val="none" w:sz="0" w:space="0" w:color="auto"/>
        <w:left w:val="none" w:sz="0" w:space="0" w:color="auto"/>
        <w:bottom w:val="none" w:sz="0" w:space="0" w:color="auto"/>
        <w:right w:val="none" w:sz="0" w:space="0" w:color="auto"/>
      </w:divBdr>
      <w:divsChild>
        <w:div w:id="1477379239">
          <w:marLeft w:val="0"/>
          <w:marRight w:val="0"/>
          <w:marTop w:val="0"/>
          <w:marBottom w:val="0"/>
          <w:divBdr>
            <w:top w:val="none" w:sz="0" w:space="0" w:color="auto"/>
            <w:left w:val="none" w:sz="0" w:space="0" w:color="auto"/>
            <w:bottom w:val="none" w:sz="0" w:space="0" w:color="auto"/>
            <w:right w:val="none" w:sz="0" w:space="0" w:color="auto"/>
          </w:divBdr>
          <w:divsChild>
            <w:div w:id="2015452269">
              <w:marLeft w:val="0"/>
              <w:marRight w:val="0"/>
              <w:marTop w:val="0"/>
              <w:marBottom w:val="0"/>
              <w:divBdr>
                <w:top w:val="none" w:sz="0" w:space="0" w:color="auto"/>
                <w:left w:val="none" w:sz="0" w:space="0" w:color="auto"/>
                <w:bottom w:val="none" w:sz="0" w:space="0" w:color="auto"/>
                <w:right w:val="none" w:sz="0" w:space="0" w:color="auto"/>
              </w:divBdr>
              <w:divsChild>
                <w:div w:id="1479759207">
                  <w:marLeft w:val="0"/>
                  <w:marRight w:val="0"/>
                  <w:marTop w:val="0"/>
                  <w:marBottom w:val="0"/>
                  <w:divBdr>
                    <w:top w:val="none" w:sz="0" w:space="0" w:color="auto"/>
                    <w:left w:val="none" w:sz="0" w:space="0" w:color="auto"/>
                    <w:bottom w:val="none" w:sz="0" w:space="0" w:color="auto"/>
                    <w:right w:val="none" w:sz="0" w:space="0" w:color="auto"/>
                  </w:divBdr>
                </w:div>
              </w:divsChild>
            </w:div>
            <w:div w:id="1985548387">
              <w:marLeft w:val="-15"/>
              <w:marRight w:val="0"/>
              <w:marTop w:val="0"/>
              <w:marBottom w:val="0"/>
              <w:divBdr>
                <w:top w:val="none" w:sz="0" w:space="0" w:color="auto"/>
                <w:left w:val="none" w:sz="0" w:space="0" w:color="auto"/>
                <w:bottom w:val="none" w:sz="0" w:space="0" w:color="auto"/>
                <w:right w:val="none" w:sz="0" w:space="0" w:color="auto"/>
              </w:divBdr>
            </w:div>
            <w:div w:id="682172051">
              <w:marLeft w:val="0"/>
              <w:marRight w:val="0"/>
              <w:marTop w:val="0"/>
              <w:marBottom w:val="0"/>
              <w:divBdr>
                <w:top w:val="none" w:sz="0" w:space="0" w:color="auto"/>
                <w:left w:val="none" w:sz="0" w:space="0" w:color="auto"/>
                <w:bottom w:val="none" w:sz="0" w:space="0" w:color="auto"/>
                <w:right w:val="none" w:sz="0" w:space="0" w:color="auto"/>
              </w:divBdr>
            </w:div>
            <w:div w:id="69892163">
              <w:marLeft w:val="75"/>
              <w:marRight w:val="0"/>
              <w:marTop w:val="0"/>
              <w:marBottom w:val="0"/>
              <w:divBdr>
                <w:top w:val="none" w:sz="0" w:space="0" w:color="auto"/>
                <w:left w:val="none" w:sz="0" w:space="0" w:color="auto"/>
                <w:bottom w:val="none" w:sz="0" w:space="0" w:color="auto"/>
                <w:right w:val="none" w:sz="0" w:space="0" w:color="auto"/>
              </w:divBdr>
            </w:div>
          </w:divsChild>
        </w:div>
        <w:div w:id="1999769512">
          <w:marLeft w:val="0"/>
          <w:marRight w:val="225"/>
          <w:marTop w:val="75"/>
          <w:marBottom w:val="0"/>
          <w:divBdr>
            <w:top w:val="none" w:sz="0" w:space="0" w:color="auto"/>
            <w:left w:val="none" w:sz="0" w:space="0" w:color="auto"/>
            <w:bottom w:val="none" w:sz="0" w:space="0" w:color="auto"/>
            <w:right w:val="none" w:sz="0" w:space="0" w:color="auto"/>
          </w:divBdr>
          <w:divsChild>
            <w:div w:id="566846908">
              <w:marLeft w:val="0"/>
              <w:marRight w:val="0"/>
              <w:marTop w:val="0"/>
              <w:marBottom w:val="0"/>
              <w:divBdr>
                <w:top w:val="none" w:sz="0" w:space="0" w:color="auto"/>
                <w:left w:val="none" w:sz="0" w:space="0" w:color="auto"/>
                <w:bottom w:val="none" w:sz="0" w:space="0" w:color="auto"/>
                <w:right w:val="none" w:sz="0" w:space="0" w:color="auto"/>
              </w:divBdr>
              <w:divsChild>
                <w:div w:id="1700736117">
                  <w:marLeft w:val="0"/>
                  <w:marRight w:val="0"/>
                  <w:marTop w:val="0"/>
                  <w:marBottom w:val="0"/>
                  <w:divBdr>
                    <w:top w:val="none" w:sz="0" w:space="0" w:color="auto"/>
                    <w:left w:val="none" w:sz="0" w:space="0" w:color="auto"/>
                    <w:bottom w:val="none" w:sz="0" w:space="0" w:color="auto"/>
                    <w:right w:val="none" w:sz="0" w:space="0" w:color="auto"/>
                  </w:divBdr>
                  <w:divsChild>
                    <w:div w:id="19042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epa.gov/sites/production/files/2015-07/documents/vision_303d_program_dec_2013.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liam.Isenberg@DEQ.virginia.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Mason</dc:creator>
  <cp:keywords/>
  <dc:description/>
  <cp:lastModifiedBy>Deirdre Mason</cp:lastModifiedBy>
  <cp:revision>7</cp:revision>
  <dcterms:created xsi:type="dcterms:W3CDTF">2016-04-18T16:38:00Z</dcterms:created>
  <dcterms:modified xsi:type="dcterms:W3CDTF">2016-04-21T12:18:00Z</dcterms:modified>
</cp:coreProperties>
</file>